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0091-2022-EnMs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襄阳金耐特机械股份有限公司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襄阳金耐特机械股份有限公司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湖北省谷城经济开发区</w:t>
            </w:r>
            <w:bookmarkEnd w:id="6"/>
          </w:p>
        </w:tc>
        <w:tc>
          <w:tcPr>
            <w:tcW w:w="1242" w:type="dxa"/>
            <w:vMerge w:val="restart"/>
            <w:vAlign w:val="center"/>
          </w:tcPr>
          <w:p>
            <w:r>
              <w:rPr>
                <w:rFonts w:hint="eastAsia"/>
              </w:rPr>
              <w:t>邮编</w:t>
            </w:r>
          </w:p>
        </w:tc>
        <w:tc>
          <w:tcPr>
            <w:tcW w:w="1771" w:type="dxa"/>
          </w:tcPr>
          <w:p>
            <w:bookmarkStart w:id="7" w:name="注册邮编"/>
            <w:r>
              <w:t>441700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湖北省谷城经济开发区</w:t>
            </w:r>
            <w:bookmarkEnd w:id="8"/>
          </w:p>
        </w:tc>
        <w:tc>
          <w:tcPr>
            <w:tcW w:w="1242" w:type="dxa"/>
            <w:vMerge w:val="continue"/>
            <w:vAlign w:val="center"/>
          </w:tcPr>
          <w:p/>
        </w:tc>
        <w:tc>
          <w:tcPr>
            <w:tcW w:w="1771" w:type="dxa"/>
          </w:tcPr>
          <w:p>
            <w:bookmarkStart w:id="9" w:name="办公邮编"/>
            <w:r>
              <w:t>441700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李敏</w:t>
            </w:r>
            <w:bookmarkEnd w:id="10"/>
          </w:p>
        </w:tc>
        <w:tc>
          <w:tcPr>
            <w:tcW w:w="1313" w:type="dxa"/>
            <w:vAlign w:val="center"/>
          </w:tcPr>
          <w:p>
            <w:r>
              <w:rPr>
                <w:rFonts w:hint="eastAsia"/>
              </w:rPr>
              <w:t>电话.</w:t>
            </w:r>
          </w:p>
        </w:tc>
        <w:tc>
          <w:tcPr>
            <w:tcW w:w="2180" w:type="dxa"/>
            <w:vAlign w:val="center"/>
          </w:tcPr>
          <w:p>
            <w:bookmarkStart w:id="11" w:name="联系人电话"/>
            <w:r>
              <w:t>15897971778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帅德国</w:t>
            </w:r>
            <w:bookmarkEnd w:id="13"/>
          </w:p>
        </w:tc>
        <w:tc>
          <w:tcPr>
            <w:tcW w:w="1313" w:type="dxa"/>
            <w:vAlign w:val="center"/>
          </w:tcPr>
          <w:p>
            <w:r>
              <w:rPr>
                <w:rFonts w:hint="eastAsia"/>
              </w:rPr>
              <w:t>管理者代表</w:t>
            </w:r>
          </w:p>
        </w:tc>
        <w:tc>
          <w:tcPr>
            <w:tcW w:w="2180" w:type="dxa"/>
          </w:tcPr>
          <w:p>
            <w:bookmarkStart w:id="14" w:name="管理者代表"/>
            <w:r>
              <w:t>闻坤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lang w:eastAsia="zh-CN"/>
              </w:rPr>
              <w:t>☑</w:t>
            </w:r>
            <w:r>
              <w:rPr>
                <w:rFonts w:hint="eastAsia"/>
              </w:rPr>
              <w:t>双班□三班□其他</w:t>
            </w:r>
          </w:p>
          <w:p>
            <w:r>
              <w:rPr>
                <w:rFonts w:hint="eastAsia"/>
                <w:highlight w:val="cyan"/>
              </w:rPr>
              <w:t>（</w:t>
            </w:r>
            <w:r>
              <w:rPr>
                <w:rFonts w:hint="eastAsia"/>
                <w:highlight w:val="cyan"/>
                <w:lang w:val="en-US" w:eastAsia="zh-CN"/>
              </w:rPr>
              <w:t>白班8:00-16:00、夜班24:00-8:00，对夜班在7:00-8:00及交接班时进行审核</w:t>
            </w:r>
            <w:r>
              <w:rPr>
                <w:rFonts w:hint="eastAsia"/>
                <w:highlight w:val="cy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精密铸造：制模—制壳—脱蜡—焙烧—熔炼—浇注—清理—热处理—机加—入库；</w:t>
            </w:r>
          </w:p>
          <w:p>
            <w:r>
              <w:rPr>
                <w:rFonts w:hint="eastAsia" w:asciiTheme="minorEastAsia" w:hAnsiTheme="minorEastAsia" w:cstheme="minorEastAsia"/>
                <w:lang w:val="en-US" w:eastAsia="zh-CN"/>
              </w:rPr>
              <w:t>砂型铸造：造型—熔炼—浇注—清理—机加—入库。</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0"/>
        <w:gridCol w:w="48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2022年02月27日 上午至2022年03月03日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rPr>
              <w:t>■GB/T 23331-2020/</w:t>
            </w:r>
            <w:r>
              <w:rPr>
                <w:rFonts w:hint="eastAsia"/>
                <w:lang w:val="de-DE"/>
              </w:rPr>
              <w:t>ISO50001：2018标准</w:t>
            </w:r>
          </w:p>
          <w:p>
            <w:r>
              <w:rPr>
                <w:rFonts w:hint="eastAsia"/>
              </w:rPr>
              <w:t>■</w:t>
            </w:r>
            <w:r>
              <w:rPr>
                <w:rFonts w:hint="eastAsia"/>
                <w:lang w:val="de-DE"/>
              </w:rPr>
              <w:t xml:space="preserve">RB/T </w:t>
            </w:r>
            <w:r>
              <w:rPr>
                <w:rFonts w:hint="eastAsia"/>
                <w:lang w:val="en-US" w:eastAsia="zh-CN"/>
              </w:rPr>
              <w:t>119-2015能源管理体系认证  机械制造企业认证要求</w:t>
            </w:r>
          </w:p>
          <w:p>
            <w:r>
              <w:rPr>
                <w:rFonts w:hint="eastAsia"/>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center"/>
          </w:tcPr>
          <w:p>
            <w:pPr>
              <w:jc w:val="left"/>
              <w:rPr>
                <w:rFonts w:hint="default" w:ascii="宋体" w:eastAsia="宋体"/>
                <w:b/>
                <w:color w:val="0000FF"/>
                <w:szCs w:val="21"/>
                <w:lang w:val="en-US" w:eastAsia="zh-CN"/>
              </w:rPr>
            </w:pPr>
            <w:r>
              <w:t>湖北省谷城经济开发区</w:t>
            </w:r>
            <w:r>
              <w:rPr>
                <w:rFonts w:hint="eastAsia"/>
                <w:lang w:val="en-US" w:eastAsia="zh-CN"/>
              </w:rPr>
              <w:t>-襄阳金耐特机械股份有限公司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50" w:type="dxa"/>
            <w:vMerge w:val="restart"/>
            <w:vAlign w:val="center"/>
          </w:tcPr>
          <w:p>
            <w:r>
              <w:rPr>
                <w:rFonts w:hint="eastAsia"/>
              </w:rPr>
              <w:t>审核范围</w:t>
            </w:r>
          </w:p>
        </w:tc>
        <w:tc>
          <w:tcPr>
            <w:tcW w:w="5098" w:type="dxa"/>
            <w:gridSpan w:val="3"/>
            <w:vMerge w:val="restart"/>
            <w:vAlign w:val="center"/>
          </w:tcPr>
          <w:p>
            <w:bookmarkStart w:id="29" w:name="审核范围"/>
            <w:r>
              <w:t>汽车零部件（铸件）生产、销售活动涉及到的能源管理活动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0" w:type="dxa"/>
            <w:vMerge w:val="continue"/>
            <w:vAlign w:val="center"/>
          </w:tcPr>
          <w:p/>
        </w:tc>
        <w:tc>
          <w:tcPr>
            <w:tcW w:w="5098" w:type="dxa"/>
            <w:gridSpan w:val="3"/>
            <w:vMerge w:val="continue"/>
            <w:vAlign w:val="center"/>
          </w:tcPr>
          <w:p/>
        </w:tc>
        <w:tc>
          <w:tcPr>
            <w:tcW w:w="3215" w:type="dxa"/>
            <w:vAlign w:val="center"/>
          </w:tcPr>
          <w:p>
            <w:bookmarkStart w:id="30" w:name="专业代码"/>
            <w:r>
              <w:t>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襄阳金耐特机械股份有限公司</w:t>
            </w:r>
            <w:r>
              <w:rPr>
                <w:rFonts w:hint="eastAsia"/>
                <w:lang w:val="en-US" w:eastAsia="zh-CN"/>
              </w:rPr>
              <w:t>/</w:t>
            </w:r>
            <w:r>
              <w:t>湖北省谷城经济开发区</w:t>
            </w:r>
          </w:p>
        </w:tc>
        <w:tc>
          <w:tcPr>
            <w:tcW w:w="2267" w:type="dxa"/>
          </w:tcPr>
          <w:p>
            <w:pPr>
              <w:rPr>
                <w:lang w:val="de-DE" w:eastAsia="ja-JP"/>
              </w:rPr>
            </w:pPr>
            <w:r>
              <w:t>湖北省谷城经济开发区</w:t>
            </w:r>
          </w:p>
        </w:tc>
        <w:tc>
          <w:tcPr>
            <w:tcW w:w="571" w:type="dxa"/>
            <w:vAlign w:val="center"/>
          </w:tcPr>
          <w:p>
            <w:pPr>
              <w:rPr>
                <w:rFonts w:hint="default" w:eastAsia="宋体"/>
                <w:lang w:val="en-US" w:eastAsia="zh-CN"/>
              </w:rPr>
            </w:pPr>
            <w:r>
              <w:rPr>
                <w:rFonts w:hint="eastAsia"/>
                <w:lang w:val="en-US" w:eastAsia="zh-CN"/>
              </w:rPr>
              <w:t>96</w:t>
            </w:r>
          </w:p>
        </w:tc>
        <w:tc>
          <w:tcPr>
            <w:tcW w:w="2803" w:type="dxa"/>
            <w:vAlign w:val="center"/>
          </w:tcPr>
          <w:p>
            <w:pPr>
              <w:rPr>
                <w:lang w:eastAsia="ja-JP"/>
              </w:rPr>
            </w:pPr>
            <w:r>
              <w:rPr>
                <w:rFonts w:hint="eastAsia" w:ascii="宋体" w:hAnsi="宋体" w:cs="宋体"/>
                <w:color w:val="000000"/>
                <w:kern w:val="0"/>
                <w:szCs w:val="21"/>
              </w:rPr>
              <w:t>汽车零部件（铸件）生产、销售活动涉及到的能源管理活动</w:t>
            </w:r>
          </w:p>
        </w:tc>
        <w:tc>
          <w:tcPr>
            <w:tcW w:w="669" w:type="dxa"/>
            <w:vAlign w:val="center"/>
          </w:tcPr>
          <w:p>
            <w:pPr>
              <w:rPr>
                <w:rFonts w:hint="default" w:eastAsia="宋体"/>
                <w:lang w:val="en-US" w:eastAsia="zh-CN"/>
              </w:rPr>
            </w:pPr>
            <w:r>
              <w:rPr>
                <w:rFonts w:hint="eastAsia"/>
                <w:sz w:val="15"/>
                <w:szCs w:val="15"/>
                <w:lang w:val="en-US" w:eastAsia="zh-CN"/>
              </w:rPr>
              <w:t>GB/T23331-2020</w:t>
            </w: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王琳</w:t>
            </w:r>
          </w:p>
        </w:tc>
        <w:tc>
          <w:tcPr>
            <w:tcW w:w="1089" w:type="dxa"/>
            <w:vAlign w:val="center"/>
          </w:tcPr>
          <w:p>
            <w:r>
              <w:t>组员</w:t>
            </w:r>
          </w:p>
        </w:tc>
        <w:tc>
          <w:tcPr>
            <w:tcW w:w="711" w:type="dxa"/>
            <w:vAlign w:val="center"/>
          </w:tcPr>
          <w:p>
            <w:r>
              <w:t>女</w:t>
            </w:r>
          </w:p>
        </w:tc>
        <w:tc>
          <w:tcPr>
            <w:tcW w:w="3870" w:type="dxa"/>
            <w:vAlign w:val="center"/>
          </w:tcPr>
          <w:p>
            <w:r>
              <w:t>2021-N0EnMS-1254369</w:t>
            </w:r>
          </w:p>
        </w:tc>
        <w:tc>
          <w:tcPr>
            <w:tcW w:w="2179" w:type="dxa"/>
            <w:vAlign w:val="center"/>
          </w:tcPr>
          <w:p/>
        </w:tc>
      </w:tr>
    </w:tbl>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4" w:hRule="exact"/>
          <w:jc w:val="center"/>
        </w:trPr>
        <w:tc>
          <w:tcPr>
            <w:tcW w:w="1842" w:type="dxa"/>
          </w:tcPr>
          <w:p>
            <w:r>
              <w:rPr>
                <w:rFonts w:hint="eastAsia"/>
              </w:rPr>
              <w:t>审核组长签字</w:t>
            </w:r>
          </w:p>
        </w:tc>
        <w:tc>
          <w:tcPr>
            <w:tcW w:w="2764" w:type="dxa"/>
            <w:tcMar>
              <w:left w:w="113" w:type="dxa"/>
            </w:tcMar>
          </w:tcPr>
          <w:p/>
          <w:p>
            <w:r>
              <w:rPr>
                <w:rFonts w:hint="eastAsia" w:ascii="宋体" w:hAnsi="宋体"/>
                <w:sz w:val="21"/>
                <w:lang w:val="en-US" w:eastAsia="zh-CN"/>
              </w:rPr>
              <w:drawing>
                <wp:inline distT="0" distB="0" distL="114300" distR="114300">
                  <wp:extent cx="640715" cy="300990"/>
                  <wp:effectExtent l="0" t="0" r="6985" b="3810"/>
                  <wp:docPr id="1" name="图片 1"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01075ba2fecce7a326c4f9b0d154f"/>
                          <pic:cNvPicPr>
                            <a:picLocks noChangeAspect="1"/>
                          </pic:cNvPicPr>
                        </pic:nvPicPr>
                        <pic:blipFill>
                          <a:blip r:embed="rId6"/>
                          <a:stretch>
                            <a:fillRect/>
                          </a:stretch>
                        </pic:blipFill>
                        <pic:spPr>
                          <a:xfrm>
                            <a:off x="0" y="0"/>
                            <a:ext cx="640715" cy="300990"/>
                          </a:xfrm>
                          <a:prstGeom prst="rect">
                            <a:avLst/>
                          </a:prstGeom>
                          <a:noFill/>
                          <a:ln>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4"/>
      </w:pP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r>
              <w:t>汽车零部件（铸件）生产、销售活动涉及到的能源管理活动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宋体" w:hAnsi="宋体" w:cs="宋体"/>
                <w:szCs w:val="21"/>
                <w:u w:val="single"/>
              </w:rPr>
              <w:t>“遵守法规 清洁生产；节能降耗 创新改造；能耗限额 持续改进”</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w:t>
            </w:r>
            <w:r>
              <w:rPr>
                <w:rFonts w:hint="eastAsia"/>
                <w:lang w:eastAsia="zh-CN"/>
              </w:rPr>
              <w:t>☑</w:t>
            </w:r>
            <w:r>
              <w:rPr>
                <w:rFonts w:hint="eastAsia"/>
              </w:rPr>
              <w:t>能源管理团队□</w:t>
            </w:r>
          </w:p>
          <w:p>
            <w:pPr>
              <w:shd w:val="clear" w:color="auto" w:fill="EBF1DE" w:themeFill="accent3" w:themeFillTint="32"/>
              <w:rPr>
                <w:rFonts w:hint="eastAsia"/>
                <w:lang w:val="en-US" w:eastAsia="zh-CN"/>
              </w:rPr>
            </w:pPr>
            <w:r>
              <w:rPr>
                <w:rFonts w:hint="eastAsia"/>
              </w:rPr>
              <w:t>能源管理团队负责人（管理者代表）是——</w:t>
            </w:r>
            <w:r>
              <w:rPr>
                <w:rFonts w:hint="eastAsia"/>
                <w:lang w:val="en-US" w:eastAsia="zh-CN"/>
              </w:rPr>
              <w:t>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lang w:eastAsia="zh-CN"/>
              </w:rPr>
              <w:t>☑</w:t>
            </w:r>
            <w:r>
              <w:rPr>
                <w:rFonts w:hint="eastAsia"/>
              </w:rPr>
              <w:t>天然气□燃料油□燃料气</w:t>
            </w:r>
            <w:r>
              <w:rPr>
                <w:rFonts w:hint="eastAsia"/>
                <w:lang w:eastAsia="zh-CN"/>
              </w:rPr>
              <w:t>☑</w:t>
            </w:r>
            <w:r>
              <w:rPr>
                <w:rFonts w:hint="eastAsia"/>
              </w:rPr>
              <w:t>电力□氮气□风□新鲜水□各种品质水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w:t>
            </w:r>
            <w:r>
              <w:rPr>
                <w:rFonts w:hint="eastAsia"/>
                <w:lang w:eastAsia="zh-CN"/>
              </w:rPr>
              <w:t>☑</w:t>
            </w:r>
            <w:r>
              <w:rPr>
                <w:rFonts w:hint="eastAsia"/>
              </w:rPr>
              <w:t>能源消费总量□单位产品蒸汽消耗□单位产品燃料气消耗</w:t>
            </w:r>
            <w:r>
              <w:rPr>
                <w:rFonts w:hint="eastAsia"/>
                <w:lang w:eastAsia="zh-CN"/>
              </w:rPr>
              <w:t>□</w:t>
            </w:r>
            <w:r>
              <w:rPr>
                <w:rFonts w:hint="eastAsia"/>
              </w:rPr>
              <w:t>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2022.1.10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w:t>
            </w:r>
            <w:r>
              <w:rPr>
                <w:rFonts w:hint="eastAsia"/>
                <w:lang w:eastAsia="zh-CN"/>
              </w:rPr>
              <w:t>☑</w:t>
            </w:r>
            <w:r>
              <w:rPr>
                <w:rFonts w:hint="eastAsia"/>
              </w:rPr>
              <w:t>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rPr>
                <w:rFonts w:hint="eastAsia"/>
              </w:rPr>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570"/>
              <w:gridCol w:w="175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节能目标</w:t>
                  </w:r>
                </w:p>
              </w:tc>
              <w:tc>
                <w:tcPr>
                  <w:tcW w:w="2570" w:type="dxa"/>
                  <w:shd w:val="clear" w:color="auto" w:fill="auto"/>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控制措施</w:t>
                  </w:r>
                </w:p>
              </w:tc>
              <w:tc>
                <w:tcPr>
                  <w:tcW w:w="1759" w:type="dxa"/>
                  <w:shd w:val="clear" w:color="auto" w:fill="auto"/>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责任部门</w:t>
                  </w:r>
                </w:p>
              </w:tc>
              <w:tc>
                <w:tcPr>
                  <w:tcW w:w="1703" w:type="dxa"/>
                  <w:shd w:val="clear" w:color="auto" w:fill="auto"/>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单位产品综合能耗为：≦429.65kgce/t；</w:t>
                  </w:r>
                </w:p>
              </w:tc>
              <w:tc>
                <w:tcPr>
                  <w:tcW w:w="2570" w:type="dxa"/>
                  <w:shd w:val="clear" w:color="auto" w:fill="auto"/>
                  <w:vAlign w:val="center"/>
                </w:tcPr>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lang w:val="en-US" w:eastAsia="zh-CN"/>
                    </w:rPr>
                    <w:t>加强能源使用管理</w:t>
                  </w:r>
                </w:p>
              </w:tc>
              <w:tc>
                <w:tcPr>
                  <w:tcW w:w="1759" w:type="dxa"/>
                  <w:shd w:val="clear" w:color="auto" w:fill="auto"/>
                  <w:vAlign w:val="center"/>
                </w:tcPr>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lang w:val="en-US" w:eastAsia="zh-CN"/>
                    </w:rPr>
                    <w:t>生产部/综合部</w:t>
                  </w:r>
                </w:p>
              </w:tc>
              <w:tc>
                <w:tcPr>
                  <w:tcW w:w="1703" w:type="dxa"/>
                  <w:shd w:val="clear" w:color="auto" w:fill="auto"/>
                  <w:vAlign w:val="center"/>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410.35kgce/t；</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建筑面积54684平方米；生产车间4个；库房1个；实验室1个；；</w:t>
            </w:r>
          </w:p>
          <w:p>
            <w:pPr>
              <w:shd w:val="clear" w:color="auto" w:fill="EBF1DE" w:themeFill="accent3" w:themeFillTint="32"/>
              <w:rPr>
                <w:u w:val="single"/>
              </w:rPr>
            </w:pPr>
            <w:r>
              <w:rPr>
                <w:rFonts w:hint="eastAsia"/>
              </w:rPr>
              <w:t>主要生产设备有：</w:t>
            </w:r>
            <w:r>
              <w:rPr>
                <w:rFonts w:hint="eastAsia"/>
                <w:color w:val="auto"/>
                <w:highlight w:val="none"/>
                <w:u w:val="single"/>
                <w:lang w:val="en-US" w:eastAsia="zh-CN"/>
              </w:rPr>
              <w:t>熔炼炉、热处理炉、机加车床</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color w:val="auto"/>
                <w:highlight w:val="none"/>
                <w:u w:val="single"/>
                <w:lang w:val="en-US" w:eastAsia="zh-CN"/>
              </w:rPr>
              <w:t>熔炼炉、热处理炉、机加车床</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ascii="Times New Roman" w:hAnsi="Times New Roman" w:cs="Times New Roman"/>
                <w:lang w:val="en-US" w:eastAsia="zh-CN"/>
              </w:rPr>
              <w:t>电表、流量表</w:t>
            </w:r>
            <w:r>
              <w:rPr>
                <w:rFonts w:hint="eastAsia" w:ascii="Times New Roman" w:hAnsi="Times New Roman" w:cs="Times New Roman"/>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highlight w:val="none"/>
                <w:u w:val="single"/>
                <w:lang w:val="en-US" w:eastAsia="zh-CN"/>
              </w:rPr>
              <w:t>电表有谷城县供电公司管理，天然气流量表由华润燃气有限公司负责管理。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cs="Times New Roman"/>
                <w:lang w:eastAsia="zh-CN"/>
              </w:rPr>
              <w:t>☑</w:t>
            </w:r>
            <w:r>
              <w:rPr>
                <w:rFonts w:hint="eastAsia" w:ascii="Times New Roman" w:hAnsi="Times New Roman" w:cs="Times New Roman"/>
              </w:rPr>
              <w:t>操作规程</w:t>
            </w:r>
            <w:r>
              <w:rPr>
                <w:rFonts w:hint="eastAsia" w:ascii="Times New Roman" w:hAnsi="Times New Roman" w:cs="Times New Roman"/>
                <w:lang w:eastAsia="zh-CN"/>
              </w:rPr>
              <w:t>☑</w:t>
            </w:r>
            <w:r>
              <w:rPr>
                <w:rFonts w:hint="eastAsia" w:ascii="Times New Roman" w:hAnsi="Times New Roman" w:cs="Times New Roman"/>
              </w:rPr>
              <w:t>作业文件</w:t>
            </w:r>
            <w:r>
              <w:rPr>
                <w:rFonts w:hint="eastAsia" w:ascii="Times New Roman" w:hAnsi="Times New Roman" w:cs="Times New Roman"/>
                <w:lang w:eastAsia="zh-CN"/>
              </w:rPr>
              <w:t>☑</w:t>
            </w:r>
            <w:r>
              <w:rPr>
                <w:rFonts w:hint="eastAsia" w:ascii="Times New Roman" w:hAnsi="Times New Roman" w:cs="Times New Roman"/>
              </w:rPr>
              <w:t>工艺卡片</w:t>
            </w:r>
            <w:r>
              <w:rPr>
                <w:rFonts w:hint="eastAsia" w:ascii="Times New Roman" w:hAnsi="Times New Roman" w:cs="Times New Roman"/>
                <w:lang w:eastAsia="zh-CN"/>
              </w:rPr>
              <w:t>☑</w:t>
            </w:r>
            <w:r>
              <w:rPr>
                <w:rFonts w:hint="eastAsia" w:ascii="Times New Roman" w:hAnsi="Times New Roman" w:cs="Times New Roman"/>
              </w:rPr>
              <w:t>接收准则</w:t>
            </w:r>
            <w:r>
              <w:rPr>
                <w:rFonts w:hint="eastAsia" w:ascii="Times New Roman" w:hAnsi="Times New Roman" w:cs="Times New Roman"/>
                <w:lang w:eastAsia="zh-CN"/>
              </w:rPr>
              <w:t>☑</w:t>
            </w:r>
            <w:r>
              <w:rPr>
                <w:rFonts w:hint="eastAsia" w:ascii="Times New Roman" w:hAnsi="Times New Roman" w:cs="Times New Roman"/>
              </w:rPr>
              <w:t>工艺流程图</w:t>
            </w:r>
            <w:r>
              <w:rPr>
                <w:rFonts w:hint="eastAsia" w:ascii="Times New Roman" w:hAnsi="Times New Roman" w:cs="Times New Roman"/>
                <w:lang w:eastAsia="zh-CN"/>
              </w:rPr>
              <w:t>□</w:t>
            </w:r>
            <w:r>
              <w:rPr>
                <w:rFonts w:hint="eastAsia"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ascii="Times New Roman" w:hAnsi="Times New Roman" w:cs="Times New Roman"/>
                <w:u w:val="single"/>
                <w:lang w:val="en-US" w:eastAsia="zh-CN"/>
              </w:rPr>
              <w:t>屋顶光伏发电项目</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天然气消耗</w:t>
                  </w:r>
                </w:p>
              </w:tc>
              <w:tc>
                <w:tcPr>
                  <w:tcW w:w="3665" w:type="dxa"/>
                </w:tcPr>
                <w:p>
                  <w:pPr>
                    <w:shd w:val="clear" w:color="auto" w:fill="EBF1DE" w:themeFill="accent3" w:themeFillTint="32"/>
                    <w:jc w:val="left"/>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加强计量管理，加强天然气管网检查</w:t>
                  </w:r>
                </w:p>
              </w:tc>
              <w:tc>
                <w:tcPr>
                  <w:tcW w:w="3265" w:type="dxa"/>
                </w:tcPr>
                <w:p>
                  <w:pPr>
                    <w:shd w:val="clear" w:color="auto" w:fill="EBF1DE" w:themeFill="accent3" w:themeFillTint="32"/>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lang w:val="en-US" w:eastAsia="zh-CN"/>
                    </w:rPr>
                    <w:t>水</w:t>
                  </w:r>
                  <w:r>
                    <w:rPr>
                      <w:rFonts w:hint="eastAsia"/>
                      <w:highlight w:val="none"/>
                    </w:rPr>
                    <w:t>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冷却水循环使用，确保不外排；</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16</w:t>
            </w:r>
            <w:r>
              <w:rPr>
                <w:rFonts w:hint="eastAsia"/>
              </w:rPr>
              <w:t>日实施了能源管理体系内部审核，对能源管理体系的符合性和有效性进行了审核。内审发现的</w:t>
            </w:r>
            <w:r>
              <w:rPr>
                <w:rFonts w:hint="eastAsia"/>
                <w:lang w:val="en-US" w:eastAsia="zh-CN"/>
              </w:rPr>
              <w:t>1</w:t>
            </w:r>
            <w:bookmarkStart w:id="34" w:name="_GoBack"/>
            <w:bookmarkEnd w:id="34"/>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22</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9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45"/>
        <w:gridCol w:w="745"/>
        <w:gridCol w:w="745"/>
        <w:gridCol w:w="745"/>
        <w:gridCol w:w="745"/>
        <w:gridCol w:w="745"/>
        <w:gridCol w:w="745"/>
        <w:gridCol w:w="745"/>
        <w:gridCol w:w="74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8"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3</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8"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45" w:type="dxa"/>
            <w:shd w:val="clear" w:color="auto" w:fill="EBF1DE" w:themeFill="accent3" w:themeFillTint="32"/>
            <w:vAlign w:val="center"/>
          </w:tcPr>
          <w:p>
            <w:pPr>
              <w:shd w:val="clear" w:color="auto" w:fill="EBF1DE" w:themeFill="accent3" w:themeFillTint="32"/>
            </w:pPr>
            <w:r>
              <w:rPr>
                <w:rFonts w:hint="eastAsia"/>
              </w:rPr>
              <w:t>7.2</w:t>
            </w:r>
          </w:p>
        </w:tc>
        <w:tc>
          <w:tcPr>
            <w:tcW w:w="745" w:type="dxa"/>
            <w:shd w:val="clear" w:color="auto" w:fill="EBF1DE" w:themeFill="accent3" w:themeFillTint="32"/>
            <w:vAlign w:val="center"/>
          </w:tcPr>
          <w:p>
            <w:pPr>
              <w:shd w:val="clear" w:color="auto" w:fill="EBF1DE" w:themeFill="accent3" w:themeFillTint="32"/>
            </w:pPr>
            <w:r>
              <w:rPr>
                <w:rFonts w:hint="eastAsia"/>
              </w:rPr>
              <w:t>7.3</w:t>
            </w:r>
          </w:p>
        </w:tc>
        <w:tc>
          <w:tcPr>
            <w:tcW w:w="745" w:type="dxa"/>
            <w:shd w:val="clear" w:color="auto" w:fill="EBF1DE" w:themeFill="accent3" w:themeFillTint="32"/>
            <w:vAlign w:val="center"/>
          </w:tcPr>
          <w:p>
            <w:pPr>
              <w:shd w:val="clear" w:color="auto" w:fill="EBF1DE" w:themeFill="accent3" w:themeFillTint="32"/>
            </w:pPr>
            <w:r>
              <w:rPr>
                <w:rFonts w:hint="eastAsia"/>
              </w:rPr>
              <w:t>7.4</w:t>
            </w:r>
          </w:p>
        </w:tc>
        <w:tc>
          <w:tcPr>
            <w:tcW w:w="745" w:type="dxa"/>
            <w:shd w:val="clear" w:color="auto" w:fill="EBF1DE" w:themeFill="accent3" w:themeFillTint="32"/>
            <w:vAlign w:val="center"/>
          </w:tcPr>
          <w:p>
            <w:pPr>
              <w:shd w:val="clear" w:color="auto" w:fill="EBF1DE" w:themeFill="accent3" w:themeFillTint="32"/>
            </w:pPr>
            <w:r>
              <w:rPr>
                <w:rFonts w:hint="eastAsia"/>
              </w:rPr>
              <w:t>7.5</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8"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5" w:type="dxa"/>
            <w:shd w:val="clear" w:color="auto" w:fill="EBF1DE" w:themeFill="accent3" w:themeFillTint="32"/>
            <w:vAlign w:val="center"/>
          </w:tcPr>
          <w:p>
            <w:pPr>
              <w:shd w:val="clear" w:color="auto" w:fill="EBF1DE" w:themeFill="accent3" w:themeFillTint="32"/>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48"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5" w:type="dxa"/>
            <w:shd w:val="clear" w:color="auto" w:fill="EBF1DE" w:themeFill="accent3" w:themeFillTint="32"/>
            <w:vAlign w:val="center"/>
          </w:tcPr>
          <w:p>
            <w:pPr>
              <w:shd w:val="clear" w:color="auto" w:fill="EBF1DE" w:themeFill="accent3" w:themeFillTint="32"/>
            </w:pPr>
            <w:r>
              <w:rPr>
                <w:rFonts w:hint="eastAsia"/>
              </w:rPr>
              <w:t>8.3</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8"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8"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c>
          <w:tcPr>
            <w:tcW w:w="748"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DF0FDE"/>
    <w:rsid w:val="079C5C28"/>
    <w:rsid w:val="306D24E4"/>
    <w:rsid w:val="317C264E"/>
    <w:rsid w:val="75BF3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1"/>
    <w:link w:val="6"/>
    <w:qFormat/>
    <w:uiPriority w:val="99"/>
    <w:rPr>
      <w:rFonts w:ascii="Times New Roman" w:hAnsi="Times New Roman" w:eastAsia="宋体" w:cs="Times New Roman"/>
      <w:sz w:val="18"/>
      <w:szCs w:val="18"/>
    </w:rPr>
  </w:style>
  <w:style w:type="character" w:customStyle="1" w:styleId="17">
    <w:name w:val="页脚 Char"/>
    <w:basedOn w:val="11"/>
    <w:link w:val="5"/>
    <w:qFormat/>
    <w:uiPriority w:val="99"/>
    <w:rPr>
      <w:rFonts w:ascii="Times New Roman" w:hAnsi="Times New Roman" w:eastAsia="宋体" w:cs="Times New Roman"/>
      <w:sz w:val="18"/>
      <w:szCs w:val="18"/>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10</TotalTime>
  <ScaleCrop>false</ScaleCrop>
  <LinksUpToDate>false</LinksUpToDate>
  <CharactersWithSpaces>26902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2022-03-04T06:48:56Z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