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0091-2022-EnMs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襄阳金耐特机械股份有限公司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2022年02月24日 下午至2022年02月26日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p>
          <w:p>
            <w:pPr>
              <w:rPr>
                <w:rFonts w:hint="default" w:ascii="宋体" w:hAnsi="宋体" w:eastAsia="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de-DE"/>
              </w:rPr>
              <w:t>RB</w:t>
            </w:r>
            <w:r>
              <w:rPr>
                <w:rFonts w:hint="eastAsia" w:ascii="宋体" w:hAnsi="宋体"/>
                <w:b/>
                <w:color w:val="000000"/>
                <w:szCs w:val="21"/>
                <w:lang w:val="en-US" w:eastAsia="zh-CN"/>
              </w:rPr>
              <w:t>/T119-2015 能源管理体系认证  机械制造企业认证要求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ascii="宋体"/>
                <w:b/>
                <w:color w:val="000000"/>
                <w:szCs w:val="21"/>
              </w:rPr>
              <w:t>湖北省谷城经济开发区</w:t>
            </w:r>
            <w:r>
              <w:rPr>
                <w:rFonts w:hint="eastAsia" w:ascii="宋体"/>
                <w:b/>
                <w:color w:val="000000"/>
                <w:szCs w:val="21"/>
                <w:lang w:eastAsia="zh-CN"/>
              </w:rPr>
              <w:t>（</w:t>
            </w:r>
            <w:r>
              <w:rPr>
                <w:rFonts w:ascii="宋体"/>
                <w:b/>
                <w:color w:val="000000"/>
                <w:szCs w:val="21"/>
              </w:rPr>
              <w:t>襄阳金耐特机械股份有限公司</w:t>
            </w: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center"/>
          </w:tcPr>
          <w:p>
            <w:pPr>
              <w:spacing w:line="280" w:lineRule="exact"/>
              <w:jc w:val="left"/>
              <w:rPr>
                <w:rFonts w:ascii="宋体"/>
                <w:b/>
                <w:color w:val="000000"/>
                <w:szCs w:val="21"/>
              </w:rPr>
            </w:pPr>
            <w:bookmarkStart w:id="21" w:name="组织名称Add1"/>
            <w:r>
              <w:rPr>
                <w:rFonts w:ascii="宋体"/>
                <w:b/>
                <w:color w:val="000000"/>
                <w:szCs w:val="21"/>
              </w:rPr>
              <w:t>襄阳金耐特机械股份有限公司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湖北省谷城经济开发区</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441700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湖北省谷城经济开发区</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441700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spacing w:line="280" w:lineRule="exact"/>
              <w:jc w:val="left"/>
              <w:rPr>
                <w:rFonts w:ascii="宋体"/>
                <w:b/>
                <w:color w:val="000000"/>
                <w:szCs w:val="21"/>
              </w:rPr>
            </w:pPr>
            <w:bookmarkStart w:id="27" w:name="联系人"/>
            <w:r>
              <w:rPr>
                <w:rFonts w:ascii="宋体"/>
                <w:b/>
                <w:color w:val="000000"/>
                <w:szCs w:val="21"/>
              </w:rPr>
              <w:t>李敏</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15897971778</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帅德国</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闻坤</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汽车零部件（铸件）</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lang w:val="en-US" w:eastAsia="zh-CN"/>
              </w:rPr>
              <w:t>销售服务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精密铸造：制模—制壳—脱蜡—焙烧—熔炼—浇注—清理—热处理—机加—入库；</w:t>
            </w:r>
          </w:p>
          <w:p>
            <w:pPr>
              <w:rPr>
                <w:rFonts w:ascii="宋体"/>
                <w:color w:val="000000"/>
                <w:szCs w:val="21"/>
              </w:rPr>
            </w:pPr>
            <w:r>
              <w:rPr>
                <w:rFonts w:hint="eastAsia" w:asciiTheme="minorEastAsia" w:hAnsiTheme="minorEastAsia" w:cstheme="minorEastAsia"/>
                <w:lang w:val="en-US" w:eastAsia="zh-CN"/>
              </w:rPr>
              <w:t>砂型铸造：造型—熔炼—浇注—清理—机加—入库。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汽车零部件（铸件）生产、销售活动涉及到的能源管理活动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sz w:val="21"/>
          <w:szCs w:val="21"/>
          <w:lang w:eastAsia="zh-CN"/>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襄阳金耐特机械股份有限公司</w:t>
            </w:r>
            <w:r>
              <w:rPr>
                <w:rFonts w:hint="eastAsia"/>
                <w:lang w:val="en-US" w:eastAsia="zh-CN"/>
              </w:rPr>
              <w:t>/</w:t>
            </w:r>
            <w:r>
              <w:t>湖北省谷城经济开发区</w:t>
            </w:r>
          </w:p>
        </w:tc>
        <w:tc>
          <w:tcPr>
            <w:tcW w:w="2267" w:type="dxa"/>
          </w:tcPr>
          <w:p>
            <w:pPr>
              <w:rPr>
                <w:lang w:val="de-DE" w:eastAsia="ja-JP"/>
              </w:rPr>
            </w:pPr>
            <w:r>
              <w:t>湖北省谷城经济开发区</w:t>
            </w:r>
          </w:p>
        </w:tc>
        <w:tc>
          <w:tcPr>
            <w:tcW w:w="571" w:type="dxa"/>
            <w:vAlign w:val="center"/>
          </w:tcPr>
          <w:p>
            <w:pPr>
              <w:rPr>
                <w:rFonts w:hint="default" w:eastAsia="宋体"/>
                <w:lang w:val="en-US" w:eastAsia="zh-CN"/>
              </w:rPr>
            </w:pPr>
            <w:r>
              <w:rPr>
                <w:rFonts w:hint="eastAsia"/>
                <w:lang w:val="en-US" w:eastAsia="zh-CN"/>
              </w:rPr>
              <w:t>96</w:t>
            </w:r>
          </w:p>
        </w:tc>
        <w:tc>
          <w:tcPr>
            <w:tcW w:w="2803" w:type="dxa"/>
            <w:vAlign w:val="center"/>
          </w:tcPr>
          <w:p>
            <w:pPr>
              <w:rPr>
                <w:lang w:eastAsia="ja-JP"/>
              </w:rPr>
            </w:pPr>
            <w:r>
              <w:rPr>
                <w:rFonts w:hint="eastAsia" w:ascii="宋体" w:hAnsi="宋体" w:cs="宋体"/>
                <w:color w:val="000000"/>
                <w:kern w:val="0"/>
                <w:szCs w:val="21"/>
              </w:rPr>
              <w:t>汽车零部件（铸件）生产、销售活动涉及到的能源管理活动</w:t>
            </w:r>
          </w:p>
        </w:tc>
        <w:tc>
          <w:tcPr>
            <w:tcW w:w="669" w:type="dxa"/>
            <w:vAlign w:val="center"/>
          </w:tcPr>
          <w:p>
            <w:pPr>
              <w:rPr>
                <w:rFonts w:hint="default" w:eastAsia="宋体"/>
                <w:lang w:val="en-US" w:eastAsia="zh-CN"/>
              </w:rPr>
            </w:pPr>
            <w:r>
              <w:rPr>
                <w:rFonts w:hint="eastAsia"/>
                <w:sz w:val="15"/>
                <w:szCs w:val="15"/>
                <w:lang w:val="en-US" w:eastAsia="zh-CN"/>
              </w:rPr>
              <w:t>GB/T23331-2020</w:t>
            </w:r>
          </w:p>
        </w:tc>
        <w:tc>
          <w:tcPr>
            <w:tcW w:w="668" w:type="dxa"/>
            <w:shd w:val="clear" w:color="auto" w:fill="FFFFFF"/>
          </w:tcPr>
          <w:p>
            <w:r>
              <w:rPr>
                <w:rFonts w:hint="eastAsia" w:ascii="宋体" w:hAnsi="宋体" w:eastAsia="宋体" w:cs="宋体"/>
              </w:rPr>
              <w:t>■</w:t>
            </w:r>
          </w:p>
        </w:tc>
      </w:tr>
    </w:tbl>
    <w:p>
      <w:pPr>
        <w:snapToGrid w:val="0"/>
        <w:spacing w:before="156" w:beforeLines="50"/>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b/>
          <w:color w:val="000000"/>
          <w:szCs w:val="21"/>
        </w:rPr>
      </w:pPr>
      <w:r>
        <w:rPr>
          <w:rFonts w:hint="eastAsia" w:ascii="宋体" w:hAnsi="宋体"/>
          <w:b/>
          <w:color w:val="000000"/>
          <w:szCs w:val="21"/>
        </w:rPr>
        <w:t>2.相关管理体系的具体情况</w:t>
      </w:r>
    </w:p>
    <w:p>
      <w:pPr>
        <w:spacing w:before="156" w:beforeLines="50" w:after="62" w:afterLines="20" w:line="360" w:lineRule="exact"/>
        <w:ind w:firstLine="207" w:firstLineChars="100"/>
        <w:rPr>
          <w:rFonts w:ascii="宋体" w:hAnsi="宋体"/>
          <w:b/>
          <w:color w:val="000000"/>
          <w:spacing w:val="-2"/>
          <w:szCs w:val="21"/>
        </w:rPr>
      </w:pP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2022-02-2</w:t>
            </w:r>
            <w:bookmarkEnd w:id="33"/>
            <w:r>
              <w:rPr>
                <w:rFonts w:hint="eastAsia" w:ascii="宋体"/>
                <w:b/>
                <w:color w:val="000000"/>
                <w:szCs w:val="21"/>
                <w:lang w:val="en-US" w:eastAsia="zh-CN"/>
              </w:rPr>
              <w:t>7~03-03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sz w:val="21"/>
          <w:lang w:val="en-US" w:eastAsia="zh-CN"/>
        </w:rPr>
        <w:drawing>
          <wp:anchor distT="0" distB="0" distL="114300" distR="114300" simplePos="0" relativeHeight="251661312" behindDoc="0" locked="0" layoutInCell="1" allowOverlap="1">
            <wp:simplePos x="0" y="0"/>
            <wp:positionH relativeFrom="column">
              <wp:posOffset>1824990</wp:posOffset>
            </wp:positionH>
            <wp:positionV relativeFrom="paragraph">
              <wp:posOffset>354330</wp:posOffset>
            </wp:positionV>
            <wp:extent cx="640715" cy="300990"/>
            <wp:effectExtent l="0" t="0" r="6985" b="3810"/>
            <wp:wrapSquare wrapText="bothSides"/>
            <wp:docPr id="2"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01075ba2fecce7a326c4f9b0d154f"/>
                    <pic:cNvPicPr>
                      <a:picLocks noChangeAspect="1"/>
                    </pic:cNvPicPr>
                  </pic:nvPicPr>
                  <pic:blipFill>
                    <a:blip r:embed="rId6"/>
                    <a:stretch>
                      <a:fillRect/>
                    </a:stretch>
                  </pic:blipFill>
                  <pic:spPr>
                    <a:xfrm>
                      <a:off x="0" y="0"/>
                      <a:ext cx="640715" cy="3009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审核组成员：</w:t>
      </w:r>
      <w:r>
        <w:rPr>
          <w:rFonts w:ascii="宋体" w:hAnsi="宋体"/>
          <w:b/>
          <w:color w:val="000000"/>
          <w:szCs w:val="21"/>
        </w:rPr>
        <w:t xml:space="preserve"> </w:t>
      </w:r>
      <w:bookmarkStart w:id="34" w:name="_GoBack"/>
      <w:bookmarkEnd w:id="34"/>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2022.2.26</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能源管理手册中部门的职责与企业实际的职责稍有不同</w:t>
            </w:r>
          </w:p>
        </w:tc>
        <w:tc>
          <w:tcPr>
            <w:tcW w:w="922"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管理职责</w:t>
            </w: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5.3</w:t>
            </w: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b/>
                <w:color w:val="000000"/>
                <w:szCs w:val="21"/>
              </w:rPr>
            </w:pPr>
            <w:r>
              <w:rPr>
                <w:rFonts w:hint="eastAsia" w:ascii="宋体" w:hAnsi="宋体"/>
                <w:sz w:val="21"/>
                <w:lang w:val="en-US" w:eastAsia="zh-CN"/>
              </w:rPr>
              <w:drawing>
                <wp:anchor distT="0" distB="0" distL="114300" distR="114300" simplePos="0" relativeHeight="251662336" behindDoc="0" locked="0" layoutInCell="1" allowOverlap="1">
                  <wp:simplePos x="0" y="0"/>
                  <wp:positionH relativeFrom="column">
                    <wp:posOffset>897890</wp:posOffset>
                  </wp:positionH>
                  <wp:positionV relativeFrom="paragraph">
                    <wp:posOffset>116840</wp:posOffset>
                  </wp:positionV>
                  <wp:extent cx="502285" cy="236220"/>
                  <wp:effectExtent l="0" t="0" r="5715" b="5080"/>
                  <wp:wrapSquare wrapText="bothSides"/>
                  <wp:docPr id="3" name="图片 3"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e01075ba2fecce7a326c4f9b0d154f"/>
                          <pic:cNvPicPr>
                            <a:picLocks noChangeAspect="1"/>
                          </pic:cNvPicPr>
                        </pic:nvPicPr>
                        <pic:blipFill>
                          <a:blip r:embed="rId6"/>
                          <a:stretch>
                            <a:fillRect/>
                          </a:stretch>
                        </pic:blipFill>
                        <pic:spPr>
                          <a:xfrm>
                            <a:off x="0" y="0"/>
                            <a:ext cx="502285" cy="23622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c>
          <w:tcPr>
            <w:tcW w:w="5392" w:type="dxa"/>
            <w:gridSpan w:val="4"/>
          </w:tcPr>
          <w:p>
            <w:pPr>
              <w:spacing w:line="280" w:lineRule="exact"/>
              <w:rPr>
                <w:rFonts w:hint="eastAsia"/>
                <w:b/>
                <w:color w:val="000000"/>
                <w:szCs w:val="21"/>
              </w:rPr>
            </w:pPr>
          </w:p>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宋体" w:hAnsi="宋体"/>
                <w:b/>
                <w:bCs/>
                <w:color w:val="000000"/>
                <w:spacing w:val="-8"/>
                <w:szCs w:val="21"/>
              </w:rPr>
            </w:pPr>
            <w:r>
              <w:rPr>
                <w:rFonts w:hint="eastAsia" w:ascii="宋体" w:hAnsi="宋体"/>
                <w:b/>
                <w:bCs/>
                <w:color w:val="000000"/>
                <w:spacing w:val="-8"/>
                <w:szCs w:val="21"/>
              </w:rPr>
              <w:t>推荐意见：</w:t>
            </w:r>
            <w:r>
              <w:rPr>
                <w:rFonts w:hint="eastAsia" w:ascii="宋体" w:hAnsi="宋体"/>
                <w:b/>
                <w:bCs/>
                <w:color w:val="000000"/>
                <w:spacing w:val="-8"/>
                <w:szCs w:val="21"/>
                <w:lang w:eastAsia="zh-CN"/>
              </w:rPr>
              <w:t>☑</w:t>
            </w:r>
            <w:r>
              <w:rPr>
                <w:rFonts w:hint="eastAsia" w:ascii="宋体" w:hAnsi="宋体"/>
                <w:b/>
                <w:bCs/>
                <w:color w:val="000000"/>
                <w:spacing w:val="-8"/>
                <w:szCs w:val="21"/>
              </w:rPr>
              <w:t>可进行二阶段审核□需再次安排一阶段审核□不进入二阶段审核</w:t>
            </w:r>
            <w:r>
              <w:rPr>
                <w:rFonts w:hint="eastAsia" w:ascii="宋体" w:hAnsi="宋体"/>
                <w:b/>
                <w:bCs/>
                <w:color w:val="000000"/>
                <w:spacing w:val="-8"/>
                <w:szCs w:val="21"/>
              </w:rPr>
              <w:tab/>
            </w:r>
          </w:p>
          <w:p>
            <w:pPr>
              <w:spacing w:line="360" w:lineRule="exact"/>
              <w:rPr>
                <w:rFonts w:hint="eastAsia" w:ascii="宋体" w:hAnsi="宋体"/>
                <w:b/>
                <w:bCs/>
                <w:color w:val="000000"/>
                <w:spacing w:val="-8"/>
                <w:szCs w:val="21"/>
              </w:rPr>
            </w:pPr>
          </w:p>
          <w:p>
            <w:pPr>
              <w:spacing w:line="360" w:lineRule="exact"/>
              <w:rPr>
                <w:rFonts w:hint="eastAsia" w:ascii="宋体" w:hAnsi="宋体"/>
                <w:b/>
                <w:bCs/>
                <w:color w:val="000000"/>
                <w:spacing w:val="-8"/>
                <w:szCs w:val="21"/>
              </w:rPr>
            </w:pPr>
            <w:r>
              <w:rPr>
                <w:rFonts w:hint="eastAsia" w:ascii="宋体" w:hAnsi="宋体"/>
                <w:sz w:val="21"/>
                <w:lang w:val="en-US" w:eastAsia="zh-CN"/>
              </w:rPr>
              <w:drawing>
                <wp:anchor distT="0" distB="0" distL="114300" distR="114300" simplePos="0" relativeHeight="251663360" behindDoc="0" locked="0" layoutInCell="1" allowOverlap="1">
                  <wp:simplePos x="0" y="0"/>
                  <wp:positionH relativeFrom="column">
                    <wp:posOffset>618490</wp:posOffset>
                  </wp:positionH>
                  <wp:positionV relativeFrom="paragraph">
                    <wp:posOffset>12700</wp:posOffset>
                  </wp:positionV>
                  <wp:extent cx="502285" cy="236220"/>
                  <wp:effectExtent l="0" t="0" r="5715" b="5080"/>
                  <wp:wrapSquare wrapText="bothSides"/>
                  <wp:docPr id="5" name="图片 5"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e01075ba2fecce7a326c4f9b0d154f"/>
                          <pic:cNvPicPr>
                            <a:picLocks noChangeAspect="1"/>
                          </pic:cNvPicPr>
                        </pic:nvPicPr>
                        <pic:blipFill>
                          <a:blip r:embed="rId6"/>
                          <a:stretch>
                            <a:fillRect/>
                          </a:stretch>
                        </pic:blipFill>
                        <pic:spPr>
                          <a:xfrm>
                            <a:off x="0" y="0"/>
                            <a:ext cx="502285" cy="236220"/>
                          </a:xfrm>
                          <a:prstGeom prst="rect">
                            <a:avLst/>
                          </a:prstGeom>
                          <a:noFill/>
                          <a:ln>
                            <a:noFill/>
                          </a:ln>
                        </pic:spPr>
                      </pic:pic>
                    </a:graphicData>
                  </a:graphic>
                </wp:anchor>
              </w:drawing>
            </w:r>
            <w:r>
              <w:rPr>
                <w:rFonts w:hint="eastAsia" w:ascii="宋体" w:hAnsi="宋体"/>
                <w:b/>
                <w:bCs/>
                <w:color w:val="000000"/>
                <w:spacing w:val="-8"/>
                <w:szCs w:val="21"/>
              </w:rPr>
              <w:t>验证人：</w:t>
            </w:r>
            <w:r>
              <w:rPr>
                <w:rFonts w:hint="eastAsia" w:ascii="宋体" w:hAnsi="宋体"/>
                <w:b/>
                <w:bCs/>
                <w:color w:val="000000"/>
                <w:spacing w:val="-8"/>
                <w:szCs w:val="21"/>
                <w:lang w:val="en-US" w:eastAsia="zh-CN"/>
              </w:rPr>
              <w:t xml:space="preserve">    </w:t>
            </w:r>
            <w:r>
              <w:rPr>
                <w:rFonts w:hint="eastAsia" w:ascii="宋体" w:hAnsi="宋体"/>
                <w:b/>
                <w:bCs/>
                <w:color w:val="000000"/>
                <w:spacing w:val="-8"/>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26</w:t>
            </w:r>
            <w:r>
              <w:rPr>
                <w:rFonts w:hint="eastAsia"/>
                <w:b/>
                <w:color w:val="000000"/>
                <w:szCs w:val="21"/>
              </w:rPr>
              <w:t>日</w:t>
            </w:r>
          </w:p>
          <w:p>
            <w:pPr>
              <w:spacing w:line="360" w:lineRule="exact"/>
              <w:rPr>
                <w:rFonts w:hint="eastAsia" w:ascii="宋体" w:hAnsi="宋体"/>
                <w:b/>
                <w:bCs/>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E162C1E"/>
    <w:rsid w:val="1C0809AB"/>
    <w:rsid w:val="38124640"/>
    <w:rsid w:val="5C406B1A"/>
    <w:rsid w:val="78FD61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7</TotalTime>
  <ScaleCrop>false</ScaleCrop>
  <LinksUpToDate>false</LinksUpToDate>
  <CharactersWithSpaces>9461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2022-03-04T03:15:26Z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