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49"/>
        <w:gridCol w:w="367"/>
        <w:gridCol w:w="355"/>
        <w:gridCol w:w="300"/>
        <w:gridCol w:w="72"/>
        <w:gridCol w:w="518"/>
        <w:gridCol w:w="560"/>
        <w:gridCol w:w="641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广州市鑫伟达自动化设备有限公司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广州市南沙区东涌镇太石工业区太南路168号自编1号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广州市南沙区东涌镇太石工业区太南路168号自编1号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0102-2022-Q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甄丽娇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02037759261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435903773@qq.com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甄丽娇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物料搬运装备、金属结构、金属制品、机械设备的销售；城市轨道交通设备（工艺装备）的设计、制造、销售及技术服务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22.04.00;</w:t>
            </w:r>
          </w:p>
          <w:p>
            <w:r>
              <w:t>29.12.00;</w:t>
            </w:r>
          </w:p>
          <w:p>
            <w:r>
              <w:t>34.06.00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2022年02月28日 上午至2022年02月28日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30" w:name="_GoBack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-492125</wp:posOffset>
                  </wp:positionH>
                  <wp:positionV relativeFrom="paragraph">
                    <wp:posOffset>-855980</wp:posOffset>
                  </wp:positionV>
                  <wp:extent cx="7249795" cy="10238740"/>
                  <wp:effectExtent l="0" t="0" r="1905" b="10160"/>
                  <wp:wrapNone/>
                  <wp:docPr id="1" name="图片 1" descr="一阶段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一阶段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795" cy="1023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0"/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9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109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68" w:type="dxa"/>
            <w:gridSpan w:val="3"/>
            <w:vAlign w:val="center"/>
          </w:tcPr>
          <w:p/>
        </w:tc>
        <w:tc>
          <w:tcPr>
            <w:tcW w:w="1094" w:type="dxa"/>
            <w:gridSpan w:val="4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138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68" w:type="dxa"/>
            <w:gridSpan w:val="3"/>
            <w:vAlign w:val="center"/>
          </w:tcPr>
          <w:p/>
        </w:tc>
        <w:tc>
          <w:tcPr>
            <w:tcW w:w="1094" w:type="dxa"/>
            <w:gridSpan w:val="4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138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68" w:type="dxa"/>
            <w:gridSpan w:val="3"/>
            <w:vAlign w:val="center"/>
          </w:tcPr>
          <w:p/>
        </w:tc>
        <w:tc>
          <w:tcPr>
            <w:tcW w:w="1094" w:type="dxa"/>
            <w:gridSpan w:val="4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138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7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8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27" w:type="dxa"/>
            <w:gridSpan w:val="3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138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27" w:type="dxa"/>
            <w:gridSpan w:val="3"/>
            <w:vAlign w:val="center"/>
          </w:tcPr>
          <w:p/>
        </w:tc>
        <w:tc>
          <w:tcPr>
            <w:tcW w:w="1078" w:type="dxa"/>
            <w:gridSpan w:val="2"/>
            <w:vAlign w:val="center"/>
          </w:tcPr>
          <w:p/>
        </w:tc>
        <w:tc>
          <w:tcPr>
            <w:tcW w:w="138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9" w:name="总组长Add1"/>
            <w:r>
              <w:rPr>
                <w:sz w:val="21"/>
                <w:szCs w:val="21"/>
              </w:rPr>
              <w:t>李俐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00"/>
        <w:gridCol w:w="660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6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12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606" w:type="dxa"/>
            <w:vAlign w:val="center"/>
          </w:tcPr>
          <w:p>
            <w:pPr>
              <w:rPr>
                <w:color w:val="auto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color w:val="auto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color w:val="auto"/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原件</w:t>
            </w:r>
            <w:r>
              <w:rPr>
                <w:rFonts w:hint="eastAsia"/>
                <w:color w:val="auto"/>
                <w:sz w:val="21"/>
                <w:szCs w:val="21"/>
              </w:rPr>
              <w:t>和复印件</w:t>
            </w:r>
            <w:r>
              <w:rPr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606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606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606" w:type="dxa"/>
            <w:vAlign w:val="center"/>
          </w:tcPr>
          <w:p>
            <w:pPr>
              <w:widowControl/>
              <w:spacing w:before="40"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对多场所/临时场所建立的控制的水平（适用时）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10：30-11:00</w:t>
            </w:r>
          </w:p>
        </w:tc>
        <w:tc>
          <w:tcPr>
            <w:tcW w:w="6606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7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11：00-11:30</w:t>
            </w:r>
          </w:p>
        </w:tc>
        <w:tc>
          <w:tcPr>
            <w:tcW w:w="6606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60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注：根据项目涉及的体系选择上述内容；可将无关的体系内容删除！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4877"/>
    <w:rsid w:val="264A4FA6"/>
    <w:rsid w:val="51C0787F"/>
    <w:rsid w:val="58CB74D0"/>
    <w:rsid w:val="5B11046D"/>
    <w:rsid w:val="5C085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7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2022-03-02T06:02:16Z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