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rPr>
              <w:t>王东朋</w:t>
            </w:r>
            <w:r>
              <w:rPr>
                <w:rFonts w:hint="eastAsia"/>
                <w:sz w:val="24"/>
                <w:szCs w:val="24"/>
                <w:lang w:val="en-US" w:eastAsia="zh-CN"/>
              </w:rPr>
              <w:t>/</w:t>
            </w:r>
            <w:bookmarkEnd w:id="0"/>
            <w:r>
              <w:rPr>
                <w:rFonts w:hint="eastAsia"/>
                <w:sz w:val="24"/>
                <w:szCs w:val="24"/>
                <w:lang w:val="en-US" w:eastAsia="zh-CN"/>
              </w:rPr>
              <w:t xml:space="preserve">王聪     </w:t>
            </w:r>
            <w:r>
              <w:rPr>
                <w:rFonts w:hint="eastAsia"/>
                <w:sz w:val="24"/>
                <w:szCs w:val="24"/>
              </w:rPr>
              <w:t>陪同人员：</w:t>
            </w:r>
            <w:r>
              <w:rPr>
                <w:rFonts w:hint="eastAsia"/>
                <w:sz w:val="24"/>
                <w:szCs w:val="24"/>
                <w:lang w:val="en-US" w:eastAsia="zh-CN"/>
              </w:rPr>
              <w:t>王聪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rPr>
              <w:t>余家龙</w:t>
            </w:r>
            <w:bookmarkEnd w:id="1"/>
            <w:r>
              <w:rPr>
                <w:rFonts w:hint="eastAsia"/>
                <w:sz w:val="24"/>
                <w:szCs w:val="24"/>
                <w:lang w:val="en-US" w:eastAsia="zh-CN"/>
              </w:rPr>
              <w:t xml:space="preserve">             </w:t>
            </w:r>
            <w:r>
              <w:rPr>
                <w:rFonts w:hint="eastAsia"/>
                <w:sz w:val="24"/>
                <w:szCs w:val="24"/>
              </w:rPr>
              <w:t>审核时间：</w:t>
            </w:r>
            <w:bookmarkStart w:id="2" w:name="审核日期"/>
            <w:r>
              <w:t>2022年02月2</w:t>
            </w:r>
            <w:r>
              <w:rPr>
                <w:rFonts w:hint="eastAsia"/>
                <w:lang w:val="en-US" w:eastAsia="zh-CN"/>
              </w:rPr>
              <w:t>5</w:t>
            </w:r>
            <w:r>
              <w:t xml:space="preserve">日 </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sz w:val="24"/>
                <w:szCs w:val="24"/>
                <w:lang w:val="en-US"/>
              </w:rPr>
            </w:pPr>
            <w:r>
              <w:rPr>
                <w:rFonts w:hint="eastAsia"/>
                <w:sz w:val="24"/>
                <w:szCs w:val="24"/>
              </w:rPr>
              <w:t>审核条款：</w:t>
            </w:r>
            <w:r>
              <w:rPr>
                <w:rFonts w:hint="eastAsia"/>
                <w:sz w:val="21"/>
                <w:szCs w:val="21"/>
                <w:lang w:val="en-US" w:eastAsia="zh-CN"/>
              </w:rPr>
              <w:t>QEO：</w:t>
            </w:r>
            <w:r>
              <w:rPr>
                <w:rFonts w:hint="eastAsia"/>
                <w:sz w:val="21"/>
                <w:szCs w:val="21"/>
              </w:rPr>
              <w:t>4.1/4.2/4.3/4.4/</w:t>
            </w:r>
            <w:r>
              <w:rPr>
                <w:rFonts w:hint="default" w:ascii="Times New Roman" w:hAnsi="Times New Roman" w:eastAsia="宋体" w:cs="Times New Roman"/>
                <w:b w:val="0"/>
                <w:bCs/>
                <w:sz w:val="21"/>
                <w:szCs w:val="21"/>
              </w:rPr>
              <w:t>5.1/5.2/5.3/6.1/6.2/</w:t>
            </w:r>
            <w:r>
              <w:rPr>
                <w:rFonts w:hint="eastAsia" w:cs="Times New Roman"/>
                <w:b w:val="0"/>
                <w:bCs/>
                <w:sz w:val="21"/>
                <w:szCs w:val="21"/>
                <w:lang w:val="en-US" w:eastAsia="zh-CN"/>
              </w:rPr>
              <w:t>6.3/</w:t>
            </w:r>
            <w:r>
              <w:rPr>
                <w:rFonts w:hint="default" w:ascii="Times New Roman" w:hAnsi="Times New Roman" w:eastAsia="宋体" w:cs="Times New Roman"/>
                <w:b w:val="0"/>
                <w:bCs/>
                <w:sz w:val="21"/>
                <w:szCs w:val="21"/>
              </w:rPr>
              <w:t>7.1/9.1.1/9.3/10.1/10.3</w:t>
            </w:r>
            <w:r>
              <w:rPr>
                <w:rFonts w:hint="eastAsia" w:ascii="Times New Roman" w:hAnsi="Times New Roman" w:cs="Times New Roman"/>
                <w:b w:val="0"/>
                <w:bCs/>
                <w:sz w:val="21"/>
                <w:szCs w:val="21"/>
                <w:lang w:eastAsia="zh-CN"/>
              </w:rPr>
              <w:t>；</w:t>
            </w:r>
            <w:r>
              <w:rPr>
                <w:rFonts w:hint="eastAsia" w:cs="Times New Roman"/>
                <w:b w:val="0"/>
                <w:bCs/>
                <w:sz w:val="21"/>
                <w:szCs w:val="21"/>
                <w:lang w:val="en-US" w:eastAsia="zh-CN"/>
              </w:rPr>
              <w:t>O5.4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spacing w:after="0" w:line="240" w:lineRule="auto"/>
              <w:rPr>
                <w:rFonts w:ascii="宋体" w:hAnsi="宋体" w:eastAsia="宋体" w:cs="宋体"/>
                <w:b w:val="0"/>
                <w:sz w:val="21"/>
                <w:szCs w:val="21"/>
              </w:rPr>
            </w:pPr>
            <w:r>
              <w:rPr>
                <w:rFonts w:hint="eastAsia" w:ascii="宋体" w:hAnsi="宋体" w:eastAsia="宋体" w:cs="宋体"/>
                <w:b w:val="0"/>
                <w:sz w:val="21"/>
                <w:szCs w:val="21"/>
              </w:rPr>
              <w:t>组织及其环境;</w:t>
            </w:r>
          </w:p>
          <w:p>
            <w:pPr>
              <w:keepNext w:val="0"/>
              <w:keepLines w:val="0"/>
              <w:pageBreakBefore w:val="0"/>
              <w:kinsoku/>
              <w:wordWrap/>
              <w:overflowPunct/>
              <w:topLinePunct w:val="0"/>
              <w:bidi w:val="0"/>
              <w:spacing w:after="0" w:line="240" w:lineRule="auto"/>
              <w:rPr>
                <w:rFonts w:ascii="宋体" w:hAnsi="宋体" w:eastAsia="宋体" w:cs="宋体"/>
                <w:b w:val="0"/>
                <w:sz w:val="21"/>
                <w:szCs w:val="21"/>
              </w:rPr>
            </w:pPr>
            <w:r>
              <w:rPr>
                <w:rFonts w:hint="eastAsia" w:ascii="宋体" w:hAnsi="宋体" w:eastAsia="宋体" w:cs="宋体"/>
                <w:b w:val="0"/>
                <w:sz w:val="21"/>
                <w:szCs w:val="21"/>
              </w:rPr>
              <w:t>相关方需求与期望;</w:t>
            </w:r>
          </w:p>
          <w:p>
            <w:pPr>
              <w:keepNext w:val="0"/>
              <w:keepLines w:val="0"/>
              <w:pageBreakBefore w:val="0"/>
              <w:kinsoku/>
              <w:wordWrap/>
              <w:overflowPunct/>
              <w:topLinePunct w:val="0"/>
              <w:bidi w:val="0"/>
              <w:spacing w:after="0" w:line="240" w:lineRule="auto"/>
              <w:rPr>
                <w:rFonts w:ascii="宋体" w:hAnsi="宋体" w:eastAsia="宋体" w:cs="宋体"/>
                <w:b w:val="0"/>
                <w:sz w:val="21"/>
                <w:szCs w:val="21"/>
              </w:rPr>
            </w:pPr>
            <w:r>
              <w:rPr>
                <w:rFonts w:hint="eastAsia" w:ascii="宋体" w:hAnsi="宋体" w:eastAsia="宋体" w:cs="宋体"/>
                <w:b w:val="0"/>
                <w:sz w:val="21"/>
                <w:szCs w:val="21"/>
              </w:rPr>
              <w:t>确定体系范围;</w:t>
            </w:r>
          </w:p>
          <w:p>
            <w:pPr>
              <w:keepNext w:val="0"/>
              <w:keepLines w:val="0"/>
              <w:pageBreakBefore w:val="0"/>
              <w:kinsoku/>
              <w:wordWrap/>
              <w:overflowPunct/>
              <w:topLinePunct w:val="0"/>
              <w:bidi w:val="0"/>
              <w:spacing w:after="0" w:line="240" w:lineRule="auto"/>
              <w:rPr>
                <w:rFonts w:ascii="宋体" w:hAnsi="宋体" w:eastAsia="宋体" w:cs="宋体"/>
                <w:b w:val="0"/>
                <w:sz w:val="21"/>
                <w:szCs w:val="21"/>
              </w:rPr>
            </w:pPr>
            <w:r>
              <w:rPr>
                <w:rFonts w:hint="eastAsia" w:ascii="宋体" w:hAnsi="宋体" w:eastAsia="宋体" w:cs="宋体"/>
                <w:b w:val="0"/>
                <w:sz w:val="21"/>
                <w:szCs w:val="21"/>
              </w:rPr>
              <w:t>体系及其过程;</w:t>
            </w:r>
          </w:p>
          <w:p>
            <w:pPr>
              <w:keepNext w:val="0"/>
              <w:keepLines w:val="0"/>
              <w:pageBreakBefore w:val="0"/>
              <w:kinsoku/>
              <w:wordWrap/>
              <w:overflowPunct/>
              <w:topLinePunct w:val="0"/>
              <w:bidi w:val="0"/>
              <w:spacing w:after="0" w:line="240" w:lineRule="auto"/>
              <w:rPr>
                <w:rFonts w:ascii="宋体" w:hAnsi="宋体" w:eastAsia="宋体" w:cs="宋体"/>
                <w:b w:val="0"/>
                <w:sz w:val="21"/>
                <w:szCs w:val="21"/>
              </w:rPr>
            </w:pPr>
            <w:r>
              <w:rPr>
                <w:rFonts w:hint="eastAsia" w:ascii="宋体" w:hAnsi="宋体" w:eastAsia="宋体" w:cs="宋体"/>
                <w:b w:val="0"/>
                <w:sz w:val="21"/>
                <w:szCs w:val="21"/>
              </w:rPr>
              <w:t>总要求</w:t>
            </w:r>
          </w:p>
          <w:p>
            <w:pPr>
              <w:keepNext w:val="0"/>
              <w:keepLines w:val="0"/>
              <w:pageBreakBefore w:val="0"/>
              <w:widowControl w:val="0"/>
              <w:kinsoku/>
              <w:wordWrap/>
              <w:overflowPunct/>
              <w:topLinePunct w:val="0"/>
              <w:autoSpaceDE/>
              <w:autoSpaceDN/>
              <w:bidi w:val="0"/>
              <w:adjustRightInd/>
              <w:spacing w:after="0" w:line="240" w:lineRule="auto"/>
              <w:textAlignment w:val="auto"/>
              <w:rPr>
                <w:rFonts w:ascii="Times New Roman" w:hAnsi="Times New Roman" w:eastAsia="宋体" w:cs="Times New Roman"/>
                <w:kern w:val="2"/>
                <w:sz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default" w:ascii="Times New Roman" w:hAnsi="Times New Roman" w:eastAsia="宋体" w:cs="Times New Roman"/>
                <w:kern w:val="2"/>
                <w:sz w:val="21"/>
                <w:lang w:val="en-US" w:eastAsia="zh-CN" w:bidi="ar-SA"/>
              </w:rPr>
            </w:pPr>
            <w:r>
              <w:rPr>
                <w:rFonts w:hint="eastAsia"/>
                <w:lang w:val="en-US" w:eastAsia="zh-CN"/>
              </w:rPr>
              <w:t>QEO4.1;4.2;4.3;4.4</w:t>
            </w:r>
          </w:p>
        </w:tc>
        <w:tc>
          <w:tcPr>
            <w:tcW w:w="10004" w:type="dxa"/>
            <w:vAlign w:val="top"/>
          </w:tcPr>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公司通过业内展会、同行交流、座谈会、每周工作例会、QQ、微信等进行内外部沟通，并定期进行评审，形成会议记录。</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抽查2021年总过程风险机会识别措施评价表，内容及记录清晰。</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公司确定的相关方有员工、政府、供方和合作伙伴、顾客等。</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理解员工诉求的形式为谈心、茶话会等；理解银行等相关方的形式主要为电话沟通、上门拜访等；</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员工关注的主要问题有工资、待遇、晋升机制、福利等，供应商和合作伙伴关注的主要问题互利和连续性，产品质量、售后服务、成本价格、交付期等。</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查见《相关方需求和期望控制程序》</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抽查顾客需求和期望：产品和服务质量符合顾客要求、及时交付、价格优惠等。</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对相关方的要求的监视和评审的方法多样，通过QQ和微信等现代通讯手段是常用的便捷而又高效主要方法。</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公司管理体系的范围是：</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Q：</w:t>
            </w:r>
            <w:r>
              <w:rPr>
                <w:rFonts w:hint="eastAsia" w:cs="Times New Roman"/>
                <w:b w:val="0"/>
                <w:sz w:val="21"/>
                <w:lang w:val="en-US" w:eastAsia="zh-CN"/>
              </w:rPr>
              <w:t>标识牌、围栏、防鸟设备、验电器、接地操作杆、携带型短路接地线的生产和销售；五金材料、安全带、安全帽、绝缘靴、绝缘手套的销售</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E：</w:t>
            </w:r>
            <w:r>
              <w:rPr>
                <w:rFonts w:hint="eastAsia" w:cs="Times New Roman"/>
                <w:b w:val="0"/>
                <w:sz w:val="21"/>
                <w:lang w:val="en-US" w:eastAsia="zh-CN"/>
              </w:rPr>
              <w:t>标识牌、围栏、防鸟设备、验电器、接地操作杆、携带型短路接地线的生产和销售；五金材料、安全带、安全帽、绝缘靴、绝缘手套的销售所涉及场所的相关环境管理活动</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O：</w:t>
            </w:r>
            <w:r>
              <w:rPr>
                <w:rFonts w:hint="eastAsia" w:cs="Times New Roman"/>
                <w:b w:val="0"/>
                <w:sz w:val="21"/>
                <w:lang w:val="en-US" w:eastAsia="zh-CN"/>
              </w:rPr>
              <w:t>标识牌、围栏、防鸟设备、验电器、接地操作杆、携带型短路接地线的生产和销售；五金材料、安全带、安全帽、绝缘靴、绝缘手套的销售所涉及场所的相关职业健康安全管理活动</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注册地址：河北省沧州市肃宁县尚村镇柳科村村南；</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经营地址：河北省沧州市肃宁县尚村镇柳科村村南；</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公司QMS不适用条款：8.3</w:t>
            </w:r>
          </w:p>
          <w:p>
            <w:pPr>
              <w:keepNext w:val="0"/>
              <w:keepLines w:val="0"/>
              <w:pageBreakBefore w:val="0"/>
              <w:kinsoku/>
              <w:wordWrap/>
              <w:overflowPunct/>
              <w:topLinePunct w:val="0"/>
              <w:bidi w:val="0"/>
              <w:spacing w:after="0" w:line="240" w:lineRule="auto"/>
              <w:ind w:firstLine="420" w:firstLineChars="200"/>
              <w:rPr>
                <w:rFonts w:hint="default" w:ascii="Times New Roman" w:hAnsi="Times New Roman" w:eastAsia="宋体" w:cs="Times New Roman"/>
                <w:b w:val="0"/>
                <w:sz w:val="21"/>
                <w:lang w:val="en-US" w:eastAsia="zh-CN"/>
              </w:rPr>
            </w:pPr>
            <w:r>
              <w:rPr>
                <w:rFonts w:hint="default" w:ascii="Times New Roman" w:hAnsi="Times New Roman" w:eastAsia="宋体" w:cs="Times New Roman"/>
                <w:b w:val="0"/>
                <w:sz w:val="21"/>
                <w:lang w:val="en-US" w:eastAsia="zh-CN"/>
              </w:rPr>
              <w:t>公司产品依据国家标准和客户要求进行生产，不自主设计，故不适用于8.3条款</w:t>
            </w:r>
            <w:r>
              <w:rPr>
                <w:rFonts w:hint="eastAsia" w:cs="Times New Roman"/>
                <w:b w:val="0"/>
                <w:sz w:val="21"/>
                <w:lang w:val="en-US" w:eastAsia="zh-CN"/>
              </w:rPr>
              <w:t>。</w:t>
            </w:r>
            <w:r>
              <w:rPr>
                <w:rFonts w:hint="eastAsia" w:ascii="宋体" w:hAnsi="宋体" w:cs="宋体"/>
                <w:bCs/>
                <w:sz w:val="21"/>
                <w:szCs w:val="21"/>
              </w:rPr>
              <w:t>公司所确定的不适用的要求不影响实现顾客满意度影响，不影响组织提供满足顾客要求和适用的法律、法规要求的能力和责任</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经识别，组织依据标准的要求建立、实施、维护管理体系，符合标准要求。</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公司202</w:t>
            </w:r>
            <w:r>
              <w:rPr>
                <w:rFonts w:hint="eastAsia" w:cs="Times New Roman"/>
                <w:b w:val="0"/>
                <w:sz w:val="21"/>
                <w:lang w:val="en-US" w:eastAsia="zh-CN"/>
              </w:rPr>
              <w:t>1</w:t>
            </w:r>
            <w:r>
              <w:rPr>
                <w:rFonts w:hint="eastAsia" w:ascii="Times New Roman" w:hAnsi="Times New Roman" w:eastAsia="宋体" w:cs="Times New Roman"/>
                <w:b w:val="0"/>
                <w:sz w:val="21"/>
                <w:lang w:val="en-US" w:eastAsia="zh-CN"/>
              </w:rPr>
              <w:t>年7月1</w:t>
            </w:r>
            <w:r>
              <w:rPr>
                <w:rFonts w:hint="eastAsia" w:cs="Times New Roman"/>
                <w:b w:val="0"/>
                <w:sz w:val="21"/>
                <w:lang w:val="en-US" w:eastAsia="zh-CN"/>
              </w:rPr>
              <w:t>0</w:t>
            </w:r>
            <w:r>
              <w:rPr>
                <w:rFonts w:hint="eastAsia" w:ascii="Times New Roman" w:hAnsi="Times New Roman" w:eastAsia="宋体" w:cs="Times New Roman"/>
                <w:b w:val="0"/>
                <w:sz w:val="21"/>
                <w:lang w:val="en-US" w:eastAsia="zh-CN"/>
              </w:rPr>
              <w:t>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2021年管理目标分解及完成情况记录。</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与负责人交流：部门确定了满足与管理体系有关的客户及相关方的要求。</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1.公司通过监视和评审有关相关方及其有关要求的信息，实现持续改进</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2. 应对风险的措施：</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a) 通过供应商的选择和评定来控制风险，选择供应商时考核其资质及其提供合格产品和合格服务的能力，应与客户需求相匹配。</w:t>
            </w:r>
          </w:p>
          <w:p>
            <w:pPr>
              <w:keepNext w:val="0"/>
              <w:keepLines w:val="0"/>
              <w:pageBreakBefore w:val="0"/>
              <w:kinsoku/>
              <w:wordWrap/>
              <w:overflowPunct/>
              <w:topLinePunct w:val="0"/>
              <w:bidi w:val="0"/>
              <w:spacing w:after="0" w:line="240" w:lineRule="auto"/>
              <w:ind w:firstLine="420" w:firstLineChars="200"/>
              <w:rPr>
                <w:rFonts w:hint="eastAsia" w:ascii="Times New Roman" w:hAnsi="Times New Roman" w:eastAsia="宋体" w:cs="Times New Roman"/>
                <w:b w:val="0"/>
                <w:sz w:val="21"/>
                <w:lang w:val="en-US" w:eastAsia="zh-CN"/>
              </w:rPr>
            </w:pPr>
            <w:r>
              <w:rPr>
                <w:rFonts w:hint="eastAsia" w:ascii="Times New Roman" w:hAnsi="Times New Roman" w:eastAsia="宋体" w:cs="Times New Roman"/>
                <w:b w:val="0"/>
                <w:sz w:val="21"/>
                <w:lang w:val="en-US" w:eastAsia="zh-CN"/>
              </w:rPr>
              <w:t>b)通过签订客户协议和供应商协议的条款把控风险等。。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keepNext w:val="0"/>
              <w:keepLines w:val="0"/>
              <w:pageBreakBefore w:val="0"/>
              <w:kinsoku/>
              <w:wordWrap/>
              <w:overflowPunct/>
              <w:topLinePunct w:val="0"/>
              <w:bidi w:val="0"/>
              <w:spacing w:after="0" w:line="240" w:lineRule="auto"/>
              <w:rPr>
                <w:rFonts w:ascii="宋体" w:hAnsi="宋体" w:eastAsia="宋体" w:cs="宋体"/>
                <w:b w:val="0"/>
                <w:sz w:val="21"/>
                <w:szCs w:val="21"/>
              </w:rPr>
            </w:pPr>
            <w:r>
              <w:rPr>
                <w:rFonts w:hint="eastAsia" w:ascii="宋体" w:hAnsi="宋体" w:eastAsia="宋体" w:cs="宋体"/>
                <w:b w:val="0"/>
                <w:sz w:val="21"/>
                <w:szCs w:val="21"/>
              </w:rPr>
              <w:t>领导作用与承诺</w:t>
            </w:r>
          </w:p>
          <w:p>
            <w:pPr>
              <w:keepNext w:val="0"/>
              <w:keepLines w:val="0"/>
              <w:pageBreakBefore w:val="0"/>
              <w:widowControl w:val="0"/>
              <w:kinsoku/>
              <w:wordWrap/>
              <w:overflowPunct/>
              <w:topLinePunct w:val="0"/>
              <w:autoSpaceDE/>
              <w:autoSpaceDN/>
              <w:bidi w:val="0"/>
              <w:adjustRightInd/>
              <w:spacing w:after="0" w:line="240" w:lineRule="auto"/>
              <w:textAlignment w:val="auto"/>
              <w:rPr>
                <w:rFonts w:ascii="Times New Roman" w:hAnsi="Times New Roman" w:eastAsia="宋体" w:cs="Times New Roman"/>
                <w:kern w:val="2"/>
                <w:sz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default" w:ascii="Times New Roman" w:hAnsi="Times New Roman" w:eastAsia="宋体" w:cs="Times New Roman"/>
                <w:kern w:val="2"/>
                <w:sz w:val="21"/>
                <w:lang w:val="en-US" w:eastAsia="zh-CN" w:bidi="ar-SA"/>
              </w:rPr>
            </w:pPr>
            <w:r>
              <w:rPr>
                <w:rFonts w:hint="eastAsia"/>
                <w:lang w:val="en-US" w:eastAsia="zh-CN"/>
              </w:rPr>
              <w:t>QEO5.1</w:t>
            </w:r>
          </w:p>
        </w:tc>
        <w:tc>
          <w:tcPr>
            <w:tcW w:w="10004" w:type="dxa"/>
            <w:vAlign w:val="top"/>
          </w:tcPr>
          <w:p>
            <w:pPr>
              <w:keepNext w:val="0"/>
              <w:keepLines w:val="0"/>
              <w:pageBreakBefore w:val="0"/>
              <w:kinsoku/>
              <w:wordWrap/>
              <w:overflowPunct/>
              <w:topLinePunct w:val="0"/>
              <w:bidi w:val="0"/>
              <w:spacing w:after="0" w:line="240" w:lineRule="auto"/>
              <w:jc w:val="left"/>
              <w:rPr>
                <w:rFonts w:hint="default"/>
                <w:lang w:val="en-US" w:eastAsia="zh-CN"/>
              </w:rPr>
            </w:pPr>
            <w:r>
              <w:rPr>
                <w:rFonts w:hint="eastAsia"/>
              </w:rPr>
              <w:t>总经理：王东朋；</w:t>
            </w:r>
            <w:r>
              <w:rPr>
                <w:rFonts w:hint="eastAsia"/>
                <w:lang w:val="en-US" w:eastAsia="zh-CN"/>
              </w:rPr>
              <w:t xml:space="preserve">  </w:t>
            </w:r>
            <w:r>
              <w:rPr>
                <w:rFonts w:hint="eastAsia"/>
              </w:rPr>
              <w:t>管代：</w:t>
            </w:r>
            <w:r>
              <w:rPr>
                <w:rFonts w:hint="eastAsia"/>
                <w:lang w:val="en-US" w:eastAsia="zh-CN"/>
              </w:rPr>
              <w:t>王聪</w:t>
            </w:r>
          </w:p>
          <w:p>
            <w:pPr>
              <w:keepNext w:val="0"/>
              <w:keepLines w:val="0"/>
              <w:pageBreakBefore w:val="0"/>
              <w:tabs>
                <w:tab w:val="center" w:pos="3169"/>
              </w:tabs>
              <w:kinsoku/>
              <w:wordWrap/>
              <w:overflowPunct/>
              <w:topLinePunct w:val="0"/>
              <w:bidi w:val="0"/>
              <w:spacing w:after="0" w:line="240" w:lineRule="auto"/>
              <w:jc w:val="left"/>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公司总经理介绍主要承诺有：1)对管理体系的有效性要承担责任；2)建立公司的管理方针和目标并确保与公司的环境相适应，与公司战略方向保持一致以及方针在公司内得到沟通理解和有效实施； 3）确保管理体系要求融入公司的物业管理及城市垃圾收集各过程。4）促进使用过程方法和机遇风险的思维。5)建立合理的公司组织结构,确保管理体系所需资源能被获得；6)建立良好的沟通机制，杜绝因沟通影响管理体系运行有效性；7）确保管理体系实现其预期的结果。8)促使员工积极参与，指导和支持他们为公司管理体系的有效性作出贡献。9）推动公司改进和创新；10)做好管理岗位的任命，公司内部公开发布任命书，以支持其他管理者在其负责领域证实其领导作用；</w:t>
            </w:r>
          </w:p>
          <w:p>
            <w:pPr>
              <w:keepNext w:val="0"/>
              <w:keepLines w:val="0"/>
              <w:pageBreakBefore w:val="0"/>
              <w:tabs>
                <w:tab w:val="center" w:pos="3169"/>
              </w:tabs>
              <w:kinsoku/>
              <w:wordWrap/>
              <w:overflowPunct/>
              <w:topLinePunct w:val="0"/>
              <w:bidi w:val="0"/>
              <w:spacing w:after="0" w:line="240" w:lineRule="auto"/>
              <w:jc w:val="left"/>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tabs>
                <w:tab w:val="center" w:pos="3169"/>
              </w:tabs>
              <w:kinsoku/>
              <w:wordWrap/>
              <w:overflowPunct/>
              <w:topLinePunct w:val="0"/>
              <w:bidi w:val="0"/>
              <w:spacing w:after="0"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承诺基本实现，没有违反的情况发生。</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方针</w:t>
            </w:r>
          </w:p>
        </w:tc>
        <w:tc>
          <w:tcPr>
            <w:tcW w:w="9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default" w:ascii="Times New Roman" w:hAnsi="Times New Roman" w:eastAsia="宋体" w:cs="Times New Roman"/>
                <w:kern w:val="2"/>
                <w:sz w:val="21"/>
                <w:lang w:val="en-US" w:eastAsia="zh-CN" w:bidi="ar-SA"/>
              </w:rPr>
            </w:pPr>
            <w:r>
              <w:rPr>
                <w:rFonts w:hint="eastAsia"/>
                <w:lang w:val="en-US" w:eastAsia="zh-CN"/>
              </w:rPr>
              <w:t>QEO5.2</w:t>
            </w:r>
          </w:p>
        </w:tc>
        <w:tc>
          <w:tcPr>
            <w:tcW w:w="10004" w:type="dxa"/>
            <w:vAlign w:val="top"/>
          </w:tcPr>
          <w:p>
            <w:pPr>
              <w:keepNext w:val="0"/>
              <w:keepLines w:val="0"/>
              <w:pageBreakBefore w:val="0"/>
              <w:kinsoku/>
              <w:wordWrap/>
              <w:overflowPunct/>
              <w:topLinePunct w:val="0"/>
              <w:bidi w:val="0"/>
              <w:spacing w:after="0" w:line="240" w:lineRule="auto"/>
              <w:ind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该公司管理方针</w:t>
            </w:r>
          </w:p>
          <w:p>
            <w:pPr>
              <w:keepNext w:val="0"/>
              <w:keepLines w:val="0"/>
              <w:pageBreakBefore w:val="0"/>
              <w:kinsoku/>
              <w:wordWrap/>
              <w:overflowPunct/>
              <w:topLinePunct w:val="0"/>
              <w:bidi w:val="0"/>
              <w:spacing w:after="0" w:line="240" w:lineRule="auto"/>
              <w:ind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质量方针：以质量求生存、以效益求发展</w:t>
            </w:r>
          </w:p>
          <w:p>
            <w:pPr>
              <w:keepNext w:val="0"/>
              <w:keepLines w:val="0"/>
              <w:pageBreakBefore w:val="0"/>
              <w:kinsoku/>
              <w:wordWrap/>
              <w:overflowPunct/>
              <w:topLinePunct w:val="0"/>
              <w:bidi w:val="0"/>
              <w:spacing w:after="0" w:line="240" w:lineRule="auto"/>
              <w:ind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环境方针：环保、高效、节能、减排</w:t>
            </w:r>
          </w:p>
          <w:p>
            <w:pPr>
              <w:keepNext w:val="0"/>
              <w:keepLines w:val="0"/>
              <w:pageBreakBefore w:val="0"/>
              <w:kinsoku/>
              <w:wordWrap/>
              <w:overflowPunct/>
              <w:topLinePunct w:val="0"/>
              <w:bidi w:val="0"/>
              <w:spacing w:after="0" w:line="240" w:lineRule="auto"/>
              <w:ind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职业健康安全方针：预防为主、安全第一</w:t>
            </w:r>
          </w:p>
          <w:p>
            <w:pPr>
              <w:keepNext w:val="0"/>
              <w:keepLines w:val="0"/>
              <w:pageBreakBefore w:val="0"/>
              <w:kinsoku/>
              <w:wordWrap/>
              <w:overflowPunct/>
              <w:topLinePunct w:val="0"/>
              <w:bidi w:val="0"/>
              <w:spacing w:after="0" w:line="240" w:lineRule="auto"/>
              <w:ind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公司以质量、环境、职业健康安全标准为基础，结合公司实际特制定管理方针。与总经理进行交谈，总经理对方针内涵的理解较深刻。方针能为制定目标提供框架，方针基本符合标准的要求。</w:t>
            </w:r>
          </w:p>
          <w:p>
            <w:pPr>
              <w:keepNext w:val="0"/>
              <w:keepLines w:val="0"/>
              <w:pageBreakBefore w:val="0"/>
              <w:kinsoku/>
              <w:wordWrap/>
              <w:overflowPunct/>
              <w:topLinePunct w:val="0"/>
              <w:bidi w:val="0"/>
              <w:spacing w:after="0" w:line="240" w:lineRule="auto"/>
              <w:ind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总经理用会议、文件等手段保证管理方针为全体员工理解并落实到工作中。管理评审时对方针的持续适宜性进行了评审，有评审记录。</w:t>
            </w:r>
          </w:p>
          <w:p>
            <w:pPr>
              <w:keepNext w:val="0"/>
              <w:keepLines w:val="0"/>
              <w:pageBreakBefore w:val="0"/>
              <w:kinsoku/>
              <w:wordWrap/>
              <w:overflowPunct/>
              <w:topLinePunct w:val="0"/>
              <w:bidi w:val="0"/>
              <w:spacing w:after="0" w:line="240" w:lineRule="auto"/>
              <w:ind w:firstLine="420" w:firstLineChars="200"/>
              <w:jc w:val="left"/>
              <w:rPr>
                <w:rFonts w:ascii="宋体" w:hAnsi="宋体" w:eastAsia="宋体" w:cs="宋体"/>
                <w:b w:val="0"/>
                <w:kern w:val="2"/>
                <w:sz w:val="21"/>
                <w:szCs w:val="21"/>
                <w:lang w:val="en-US" w:eastAsia="zh-CN" w:bidi="ar-SA"/>
              </w:rPr>
            </w:pPr>
            <w:r>
              <w:rPr>
                <w:rFonts w:hint="eastAsia" w:ascii="宋体" w:hAnsi="宋体" w:eastAsia="宋体" w:cs="宋体"/>
                <w:b w:val="0"/>
                <w:sz w:val="21"/>
                <w:szCs w:val="21"/>
              </w:rPr>
              <w:t>以上管理方针通过文件、培训等形式将公司管理方针传达给所有为公司工作或代表公司的人员，相关方也可通过</w:t>
            </w:r>
            <w:r>
              <w:rPr>
                <w:rFonts w:hint="eastAsia" w:ascii="宋体" w:hAnsi="宋体" w:cs="宋体"/>
                <w:b w:val="0"/>
                <w:sz w:val="21"/>
                <w:szCs w:val="21"/>
                <w:lang w:eastAsia="zh-CN"/>
              </w:rPr>
              <w:t>办公室</w:t>
            </w:r>
            <w:r>
              <w:rPr>
                <w:rFonts w:hint="eastAsia" w:ascii="宋体" w:hAnsi="宋体" w:eastAsia="宋体" w:cs="宋体"/>
                <w:b w:val="0"/>
                <w:sz w:val="21"/>
                <w:szCs w:val="21"/>
              </w:rPr>
              <w:t>获取公司管理方针。</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kinsoku/>
              <w:wordWrap/>
              <w:overflowPunct/>
              <w:topLinePunct w:val="0"/>
              <w:bidi w:val="0"/>
              <w:adjustRightInd w:val="0"/>
              <w:snapToGrid w:val="0"/>
              <w:spacing w:after="0" w:line="240" w:lineRule="auto"/>
              <w:rPr>
                <w:rFonts w:ascii="宋体" w:hAnsi="宋体" w:eastAsia="宋体" w:cs="宋体"/>
                <w:b w:val="0"/>
                <w:sz w:val="21"/>
                <w:szCs w:val="21"/>
              </w:rPr>
            </w:pPr>
            <w:r>
              <w:rPr>
                <w:rFonts w:hint="eastAsia" w:ascii="宋体" w:hAnsi="宋体" w:eastAsia="宋体" w:cs="宋体"/>
                <w:b w:val="0"/>
                <w:sz w:val="21"/>
                <w:szCs w:val="21"/>
              </w:rPr>
              <w:t>组织的角色、职责和权限；</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val="0"/>
                <w:sz w:val="21"/>
                <w:szCs w:val="21"/>
              </w:rPr>
              <w:t>资源、角色、职责、责任与权限</w:t>
            </w:r>
          </w:p>
        </w:tc>
        <w:tc>
          <w:tcPr>
            <w:tcW w:w="9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QEO5.3</w:t>
            </w:r>
          </w:p>
        </w:tc>
        <w:tc>
          <w:tcPr>
            <w:tcW w:w="10004" w:type="dxa"/>
            <w:vAlign w:val="top"/>
          </w:tcPr>
          <w:p>
            <w:pPr>
              <w:keepNext w:val="0"/>
              <w:keepLines w:val="0"/>
              <w:pageBreakBefore w:val="0"/>
              <w:kinsoku/>
              <w:wordWrap/>
              <w:overflowPunct/>
              <w:topLinePunct w:val="0"/>
              <w:bidi w:val="0"/>
              <w:adjustRightInd w:val="0"/>
              <w:snapToGrid w:val="0"/>
              <w:spacing w:after="0" w:line="240" w:lineRule="auto"/>
              <w:ind w:firstLine="420" w:firstLineChars="200"/>
              <w:jc w:val="lef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确定了部门、各岗位人员职责、权限和相互关系，并在公司内对各级员工进行了必要的传达。对从事与</w:t>
            </w:r>
            <w:r>
              <w:rPr>
                <w:rFonts w:hint="eastAsia" w:ascii="宋体" w:hAnsi="宋体" w:cs="宋体"/>
                <w:b w:val="0"/>
                <w:kern w:val="2"/>
                <w:sz w:val="21"/>
                <w:szCs w:val="21"/>
                <w:lang w:val="en-US" w:eastAsia="zh-CN" w:bidi="ar-SA"/>
              </w:rPr>
              <w:t>标识牌、围栏、防鸟设备、验电器、接地操作杆、携带型短路接地线的生产和销售；五金材料、安全带、安全帽、绝缘靴、绝缘手套的销售</w:t>
            </w:r>
            <w:r>
              <w:rPr>
                <w:rFonts w:hint="eastAsia" w:ascii="宋体" w:hAnsi="宋体" w:eastAsia="宋体" w:cs="宋体"/>
                <w:b w:val="0"/>
                <w:kern w:val="2"/>
                <w:sz w:val="21"/>
                <w:szCs w:val="21"/>
                <w:lang w:val="en-US" w:eastAsia="zh-CN" w:bidi="ar-SA"/>
              </w:rPr>
              <w:t>有关的管理、执行和验证人员规定其职责、权限及其相互关系，以实现公司管理方针和管理目标。建立、实施和保持公司管理体系所需的过程，公司决定任命</w:t>
            </w:r>
            <w:r>
              <w:rPr>
                <w:rFonts w:hint="eastAsia" w:ascii="宋体" w:hAnsi="宋体" w:cs="宋体"/>
                <w:b w:val="0"/>
                <w:kern w:val="2"/>
                <w:sz w:val="21"/>
                <w:szCs w:val="21"/>
                <w:lang w:val="en-US" w:eastAsia="zh-CN" w:bidi="ar-SA"/>
              </w:rPr>
              <w:t>王聪</w:t>
            </w:r>
            <w:r>
              <w:rPr>
                <w:rFonts w:hint="eastAsia" w:ascii="宋体" w:hAnsi="宋体" w:eastAsia="宋体" w:cs="宋体"/>
                <w:b w:val="0"/>
                <w:kern w:val="2"/>
                <w:sz w:val="21"/>
                <w:szCs w:val="21"/>
                <w:lang w:val="en-US" w:eastAsia="zh-CN" w:bidi="ar-SA"/>
              </w:rPr>
              <w:t>为管理体系的管理者代表。其职责和权限规定如下：</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1、确保本公司管理体系所需的过程得到建立、实施和保持，代表总经理行使职权；</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2、向最高管理者报告管理体系的运行、管理业绩情况以供评审，并提出管理体系改进方面的建议；</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3、确保在整个组织内提高满足顾客、相关方要求和适用法律法规要求的意识；</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3、组织落实公司管理体系的管理评审和内部审核；及时处理影响公司管理体系正常运行的有关问题；</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4、负责公司管理体系有关事宜的对外联络等。</w:t>
            </w:r>
          </w:p>
          <w:p>
            <w:pPr>
              <w:keepNext w:val="0"/>
              <w:keepLines w:val="0"/>
              <w:pageBreakBefore w:val="0"/>
              <w:kinsoku/>
              <w:wordWrap/>
              <w:overflowPunct/>
              <w:topLinePunct w:val="0"/>
              <w:bidi w:val="0"/>
              <w:adjustRightInd w:val="0"/>
              <w:snapToGrid w:val="0"/>
              <w:spacing w:after="0" w:line="240" w:lineRule="auto"/>
              <w:jc w:val="lef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 xml:space="preserve">    询问管代</w:t>
            </w:r>
            <w:r>
              <w:rPr>
                <w:rFonts w:hint="eastAsia" w:ascii="宋体" w:hAnsi="宋体" w:cs="宋体"/>
                <w:b w:val="0"/>
                <w:kern w:val="2"/>
                <w:sz w:val="21"/>
                <w:szCs w:val="21"/>
                <w:lang w:val="en-US" w:eastAsia="zh-CN" w:bidi="ar-SA"/>
              </w:rPr>
              <w:t>王聪</w:t>
            </w:r>
            <w:r>
              <w:rPr>
                <w:rFonts w:hint="eastAsia" w:ascii="宋体" w:hAnsi="宋体" w:eastAsia="宋体" w:cs="宋体"/>
                <w:b w:val="0"/>
                <w:kern w:val="2"/>
                <w:sz w:val="21"/>
                <w:szCs w:val="21"/>
                <w:lang w:val="en-US" w:eastAsia="zh-CN" w:bidi="ar-SA"/>
              </w:rPr>
              <w:t>、安全事务代表</w:t>
            </w:r>
            <w:r>
              <w:rPr>
                <w:rFonts w:hint="eastAsia" w:ascii="宋体" w:hAnsi="宋体" w:cs="宋体"/>
                <w:b w:val="0"/>
                <w:kern w:val="2"/>
                <w:sz w:val="21"/>
                <w:szCs w:val="21"/>
                <w:lang w:val="en-US" w:eastAsia="zh-CN" w:bidi="ar-SA"/>
              </w:rPr>
              <w:t>刘俊杰</w:t>
            </w:r>
            <w:r>
              <w:rPr>
                <w:rFonts w:hint="eastAsia" w:ascii="宋体" w:hAnsi="宋体" w:eastAsia="宋体" w:cs="宋体"/>
                <w:b w:val="0"/>
                <w:kern w:val="2"/>
                <w:sz w:val="21"/>
                <w:szCs w:val="21"/>
                <w:lang w:val="en-US" w:eastAsia="zh-CN" w:bidi="ar-SA"/>
              </w:rPr>
              <w:t>职责回答正确。</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default" w:ascii="Times New Roman" w:hAnsi="Times New Roman" w:eastAsia="宋体" w:cs="Times New Roman"/>
                <w:kern w:val="2"/>
                <w:sz w:val="21"/>
                <w:lang w:val="en-US" w:eastAsia="zh-CN" w:bidi="ar-SA"/>
              </w:rPr>
            </w:pPr>
            <w:r>
              <w:rPr>
                <w:rFonts w:hint="eastAsia" w:ascii="宋体" w:hAnsi="宋体" w:eastAsia="宋体" w:cs="宋体"/>
                <w:b w:val="0"/>
                <w:sz w:val="21"/>
                <w:szCs w:val="21"/>
              </w:rPr>
              <w:t>应对风险和机遇的措施；</w:t>
            </w:r>
            <w:r>
              <w:rPr>
                <w:rFonts w:hint="eastAsia" w:ascii="宋体" w:hAnsi="宋体" w:eastAsia="宋体" w:cs="宋体"/>
                <w:b w:val="0"/>
                <w:sz w:val="21"/>
                <w:szCs w:val="21"/>
                <w:lang w:val="en-US" w:eastAsia="zh-CN"/>
              </w:rPr>
              <w:t>措施的策划</w:t>
            </w:r>
          </w:p>
        </w:tc>
        <w:tc>
          <w:tcPr>
            <w:tcW w:w="9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lang w:val="en-US" w:eastAsia="zh-CN"/>
              </w:rPr>
            </w:pPr>
            <w:r>
              <w:rPr>
                <w:rFonts w:hint="eastAsia"/>
                <w:lang w:val="en-US" w:eastAsia="zh-CN"/>
              </w:rPr>
              <w:t>Q6.1;</w:t>
            </w:r>
          </w:p>
          <w:p>
            <w:pPr>
              <w:pStyle w:val="10"/>
              <w:rPr>
                <w:rFonts w:hint="default" w:ascii="Times New Roman" w:hAnsi="Times New Roman" w:eastAsia="宋体" w:cs="Times New Roman"/>
                <w:bCs/>
                <w:spacing w:val="10"/>
                <w:kern w:val="2"/>
                <w:sz w:val="21"/>
                <w:lang w:val="en-US" w:eastAsia="zh-CN" w:bidi="ar-SA"/>
              </w:rPr>
            </w:pPr>
            <w:r>
              <w:rPr>
                <w:rFonts w:hint="eastAsia"/>
                <w:lang w:val="en-US" w:eastAsia="zh-CN"/>
              </w:rPr>
              <w:t>EO6.1.1;EO6.1.2;EO6.1.3;EO6.1.4</w:t>
            </w:r>
          </w:p>
        </w:tc>
        <w:tc>
          <w:tcPr>
            <w:tcW w:w="10004" w:type="dxa"/>
            <w:vAlign w:val="top"/>
          </w:tcPr>
          <w:p>
            <w:pPr>
              <w:keepNext w:val="0"/>
              <w:keepLines w:val="0"/>
              <w:pageBreakBefore w:val="0"/>
              <w:tabs>
                <w:tab w:val="left" w:pos="1800"/>
              </w:tabs>
              <w:kinsoku/>
              <w:wordWrap/>
              <w:overflowPunct/>
              <w:topLinePunct w:val="0"/>
              <w:bidi w:val="0"/>
              <w:spacing w:after="0" w:line="240" w:lineRule="auto"/>
              <w:ind w:right="15" w:rightChars="7"/>
              <w:jc w:val="left"/>
              <w:rPr>
                <w:rFonts w:hint="eastAsia"/>
                <w:lang w:val="en-US" w:eastAsia="zh-CN"/>
              </w:rPr>
            </w:pPr>
            <w:r>
              <w:rPr>
                <w:rFonts w:hint="eastAsia"/>
                <w:lang w:val="en-US" w:eastAsia="zh-CN"/>
              </w:rPr>
              <w:t>编制了《风险和机遇的应对措施控制程序》。办公室负责建立风险和机遇应对控制程序，并进行维护。各部门负责各自风险和机遇评估，并制定相应的措施以规避或者降低风险并落实执行。</w:t>
            </w:r>
          </w:p>
          <w:p>
            <w:pPr>
              <w:keepNext w:val="0"/>
              <w:keepLines w:val="0"/>
              <w:pageBreakBefore w:val="0"/>
              <w:tabs>
                <w:tab w:val="left" w:pos="1800"/>
              </w:tabs>
              <w:kinsoku/>
              <w:wordWrap/>
              <w:overflowPunct/>
              <w:topLinePunct w:val="0"/>
              <w:bidi w:val="0"/>
              <w:spacing w:after="0" w:line="240" w:lineRule="auto"/>
              <w:ind w:right="15" w:rightChars="7"/>
              <w:jc w:val="left"/>
              <w:rPr>
                <w:rFonts w:hint="default"/>
                <w:lang w:val="en-US" w:eastAsia="zh-CN"/>
              </w:rPr>
            </w:pPr>
            <w:r>
              <w:rPr>
                <w:rFonts w:hint="eastAsia"/>
                <w:lang w:val="en-US" w:eastAsia="zh-CN"/>
              </w:rPr>
              <w:t>查见《风险和机遇评估分析表》，各部门均对需应对的风险和机遇进行了评估分析。时间：2021.7.10</w:t>
            </w:r>
          </w:p>
          <w:p>
            <w:pPr>
              <w:keepNext w:val="0"/>
              <w:keepLines w:val="0"/>
              <w:pageBreakBefore w:val="0"/>
              <w:tabs>
                <w:tab w:val="left" w:pos="1800"/>
              </w:tabs>
              <w:kinsoku/>
              <w:wordWrap/>
              <w:overflowPunct/>
              <w:topLinePunct w:val="0"/>
              <w:bidi w:val="0"/>
              <w:spacing w:after="0" w:line="240" w:lineRule="auto"/>
              <w:ind w:right="15" w:rightChars="7"/>
              <w:jc w:val="left"/>
              <w:rPr>
                <w:rFonts w:hint="eastAsia"/>
                <w:lang w:val="en-US" w:eastAsia="zh-CN"/>
              </w:rPr>
            </w:pPr>
            <w:r>
              <w:rPr>
                <w:rFonts w:hint="eastAsia"/>
                <w:lang w:val="en-US" w:eastAsia="zh-CN"/>
              </w:rPr>
              <w:t>如管理层风险：</w:t>
            </w:r>
            <w:r>
              <w:rPr>
                <w:rFonts w:hint="eastAsia"/>
              </w:rPr>
              <w:t>整体经济环境不佳，银行利率提高，银行信贷紧缩</w:t>
            </w:r>
            <w:r>
              <w:rPr>
                <w:rFonts w:hint="eastAsia"/>
                <w:lang w:val="en-US" w:eastAsia="zh-CN"/>
              </w:rPr>
              <w:t>；严重度：一般；频度：偶尔发生；风险等级：高风险；应对措施：提前资金准备，对于合同付款抓紧；实施负责人：</w:t>
            </w:r>
            <w:r>
              <w:rPr>
                <w:rFonts w:hint="eastAsia"/>
                <w:lang w:eastAsia="zh-CN"/>
              </w:rPr>
              <w:t>王聪；</w:t>
            </w:r>
            <w:r>
              <w:rPr>
                <w:rFonts w:hint="eastAsia"/>
                <w:lang w:val="en-US" w:eastAsia="zh-CN"/>
              </w:rPr>
              <w:t>进度跟进：持续执行；效果评价：有效。</w:t>
            </w:r>
          </w:p>
          <w:p>
            <w:pPr>
              <w:keepNext w:val="0"/>
              <w:keepLines w:val="0"/>
              <w:pageBreakBefore w:val="0"/>
              <w:tabs>
                <w:tab w:val="left" w:pos="1800"/>
              </w:tabs>
              <w:kinsoku/>
              <w:wordWrap/>
              <w:overflowPunct/>
              <w:topLinePunct w:val="0"/>
              <w:bidi w:val="0"/>
              <w:spacing w:after="0" w:line="240" w:lineRule="auto"/>
              <w:ind w:right="15" w:rightChars="7"/>
              <w:jc w:val="left"/>
              <w:rPr>
                <w:rFonts w:hint="eastAsia"/>
                <w:lang w:val="en-US" w:eastAsia="zh-CN"/>
              </w:rPr>
            </w:pPr>
            <w:r>
              <w:rPr>
                <w:rFonts w:hint="eastAsia"/>
                <w:lang w:val="en-US" w:eastAsia="zh-CN"/>
              </w:rPr>
              <w:t>组织在确定这些风险和机遇时，考虑了员工岗位技能、员工安全等内外部因素及相关方的要求。</w:t>
            </w:r>
          </w:p>
          <w:p>
            <w:pPr>
              <w:rPr>
                <w:rFonts w:hint="eastAsia"/>
                <w:lang w:val="en-US" w:eastAsia="zh-CN"/>
              </w:rPr>
            </w:pPr>
          </w:p>
          <w:p>
            <w:pPr>
              <w:rPr>
                <w:rFonts w:hint="eastAsia"/>
                <w:lang w:val="en-US" w:eastAsia="zh-CN"/>
              </w:rPr>
            </w:pPr>
            <w:r>
              <w:rPr>
                <w:rFonts w:hint="eastAsia"/>
                <w:lang w:val="en-US" w:eastAsia="zh-CN"/>
              </w:rPr>
              <w:t>编制了《环境因素识别与评价控制程</w:t>
            </w:r>
            <w:r>
              <w:rPr>
                <w:rFonts w:hint="eastAsia" w:ascii="Times New Roman" w:hAnsi="Times New Roman" w:cs="Times New Roman"/>
                <w:szCs w:val="22"/>
                <w:lang w:val="en-US" w:eastAsia="zh-CN"/>
              </w:rPr>
              <w:t>序》、《危险源辨识、风险评价和风险控制程序》，符</w:t>
            </w:r>
            <w:r>
              <w:rPr>
                <w:rFonts w:hint="eastAsia"/>
                <w:lang w:val="en-US" w:eastAsia="zh-CN"/>
              </w:rPr>
              <w:t>合标准要求</w:t>
            </w:r>
          </w:p>
          <w:p>
            <w:pPr>
              <w:rPr>
                <w:rFonts w:hint="default"/>
                <w:lang w:val="en-US" w:eastAsia="zh-CN"/>
              </w:rPr>
            </w:pPr>
            <w:r>
              <w:rPr>
                <w:rFonts w:hint="default"/>
                <w:lang w:val="en-US" w:eastAsia="zh-CN"/>
              </w:rPr>
              <w:t>提供《环境因素识别</w:t>
            </w:r>
            <w:r>
              <w:rPr>
                <w:rFonts w:hint="eastAsia"/>
                <w:lang w:val="en-US" w:eastAsia="zh-CN"/>
              </w:rPr>
              <w:t>与评价一览</w:t>
            </w:r>
            <w:r>
              <w:rPr>
                <w:rFonts w:hint="default"/>
                <w:lang w:val="en-US" w:eastAsia="zh-CN"/>
              </w:rPr>
              <w:t>表》，</w:t>
            </w:r>
            <w:r>
              <w:rPr>
                <w:rFonts w:hint="eastAsia"/>
                <w:lang w:val="en-US" w:eastAsia="zh-CN"/>
              </w:rPr>
              <w:t>各部门均对涉及到的环境因素进行了识别与评价。</w:t>
            </w:r>
            <w:r>
              <w:rPr>
                <w:rFonts w:hint="default"/>
                <w:lang w:val="en-US" w:eastAsia="zh-CN"/>
              </w:rPr>
              <w:t>包括固废排放、火灾、原材料损耗、不合格品废弃、切割机等噪声排放等。</w:t>
            </w:r>
          </w:p>
          <w:p>
            <w:pPr>
              <w:rPr>
                <w:rFonts w:hint="eastAsia"/>
                <w:lang w:val="en-US" w:eastAsia="zh-CN"/>
              </w:rPr>
            </w:pPr>
            <w:r>
              <w:rPr>
                <w:rFonts w:hint="default"/>
                <w:lang w:val="en-US" w:eastAsia="zh-CN"/>
              </w:rPr>
              <w:t>提供《重要环境因素清单》，其中重要环境因素：</w:t>
            </w:r>
            <w:r>
              <w:rPr>
                <w:rFonts w:hint="default" w:ascii="Times New Roman" w:hAnsi="Times New Roman" w:cs="Times New Roman"/>
                <w:sz w:val="21"/>
                <w:szCs w:val="21"/>
                <w:highlight w:val="none"/>
                <w:lang w:val="en-US" w:eastAsia="zh-CN"/>
              </w:rPr>
              <w:t>潜在火灾</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固体废弃物的排放</w:t>
            </w:r>
            <w:r>
              <w:rPr>
                <w:rFonts w:hint="default"/>
                <w:lang w:val="en-US" w:eastAsia="zh-CN"/>
              </w:rPr>
              <w:t>，</w:t>
            </w:r>
            <w:r>
              <w:rPr>
                <w:rFonts w:hint="eastAsia"/>
                <w:lang w:val="en-US" w:eastAsia="zh-CN"/>
              </w:rPr>
              <w:t>噪声排放，</w:t>
            </w:r>
            <w:r>
              <w:rPr>
                <w:rFonts w:hint="default"/>
                <w:lang w:val="en-US" w:eastAsia="zh-CN"/>
              </w:rPr>
              <w:t>评价准确。</w:t>
            </w:r>
          </w:p>
          <w:p>
            <w:pPr>
              <w:rPr>
                <w:rFonts w:hint="default"/>
                <w:lang w:val="en-US" w:eastAsia="zh-CN"/>
              </w:rPr>
            </w:pPr>
            <w:r>
              <w:rPr>
                <w:rFonts w:hint="eastAsia"/>
                <w:lang w:val="en-US" w:eastAsia="zh-CN"/>
              </w:rPr>
              <w:t>提供《危险源辨识评价表》，各部门均对涉及到的危险源进行了识别与评价评价。主要包括：触电、潜在火灾、交通事故、职业病等。</w:t>
            </w:r>
          </w:p>
          <w:p>
            <w:pPr>
              <w:keepNext w:val="0"/>
              <w:keepLines w:val="0"/>
              <w:pageBreakBefore w:val="0"/>
              <w:kinsoku/>
              <w:wordWrap/>
              <w:overflowPunct/>
              <w:topLinePunct w:val="0"/>
              <w:bidi w:val="0"/>
              <w:adjustRightInd w:val="0"/>
              <w:snapToGrid w:val="0"/>
              <w:spacing w:after="0" w:line="240" w:lineRule="auto"/>
              <w:ind w:right="15" w:rightChars="7"/>
              <w:jc w:val="left"/>
              <w:rPr>
                <w:rFonts w:hint="eastAsia"/>
                <w:lang w:val="en-US" w:eastAsia="zh-CN"/>
              </w:rPr>
            </w:pPr>
            <w:r>
              <w:rPr>
                <w:rFonts w:hint="eastAsia"/>
                <w:lang w:val="en-US" w:eastAsia="zh-CN"/>
              </w:rPr>
              <w:t>提供《不可接受风险清单》，得出不可接受风险为</w:t>
            </w:r>
            <w:r>
              <w:rPr>
                <w:rFonts w:hint="eastAsia"/>
                <w:sz w:val="21"/>
                <w:szCs w:val="21"/>
                <w:lang w:eastAsia="zh-CN"/>
              </w:rPr>
              <w:t>潜在火灾、触电、</w:t>
            </w:r>
            <w:r>
              <w:rPr>
                <w:rFonts w:hint="eastAsia"/>
                <w:sz w:val="21"/>
                <w:szCs w:val="21"/>
                <w:lang w:val="en-US" w:eastAsia="zh-CN"/>
              </w:rPr>
              <w:t>机械伤害、新冠肺炎</w:t>
            </w:r>
            <w:r>
              <w:rPr>
                <w:rFonts w:hint="eastAsia"/>
                <w:lang w:val="en-US" w:eastAsia="zh-CN"/>
              </w:rPr>
              <w:t>。评价基本准确，详见各部门相关条款审核记录。</w:t>
            </w:r>
          </w:p>
          <w:p>
            <w:pPr>
              <w:rPr>
                <w:rFonts w:hint="eastAsia"/>
                <w:lang w:val="en-US" w:eastAsia="zh-CN"/>
              </w:rPr>
            </w:pPr>
          </w:p>
          <w:p>
            <w:pPr>
              <w:rPr>
                <w:rFonts w:hint="eastAsia"/>
                <w:lang w:val="en-US" w:eastAsia="zh-CN"/>
              </w:rPr>
            </w:pPr>
            <w:r>
              <w:rPr>
                <w:rFonts w:hint="eastAsia"/>
                <w:lang w:val="en-US" w:eastAsia="zh-CN"/>
              </w:rPr>
              <w:t>为使公</w:t>
            </w:r>
            <w:r>
              <w:rPr>
                <w:rFonts w:hint="eastAsia" w:ascii="Times New Roman" w:hAnsi="Times New Roman" w:cs="Times New Roman"/>
                <w:szCs w:val="22"/>
                <w:lang w:val="en-US" w:eastAsia="zh-CN"/>
              </w:rPr>
              <w:t>司管理体系运行合法有效、符合法律规定及相关方要求，编制了《合规义务控制程序》，明确法律、法规和其他要求的识别、获取、更新等要求。</w:t>
            </w:r>
          </w:p>
          <w:p>
            <w:pPr>
              <w:rPr>
                <w:rFonts w:hint="eastAsia"/>
                <w:lang w:val="en-US" w:eastAsia="zh-CN"/>
              </w:rPr>
            </w:pPr>
            <w:r>
              <w:rPr>
                <w:rFonts w:hint="eastAsia"/>
                <w:lang w:val="en-US" w:eastAsia="zh-CN"/>
              </w:rPr>
              <w:t>办公室负责适用公司的环境/安全方面的法律法规的识别、获取、更新、传达，并评价其适用性；提供提供有公司适用的《法律法规及其他要求清单》：法律法规包括环境影响评价法、环境保护法、水污染防治法、安全生产法、消防法、建设项目环境保护管理条例、废物鉴别标准通则、职业健康检查管理办法、新型冠状病毒肺炎防控方案等。</w:t>
            </w:r>
          </w:p>
          <w:p>
            <w:pPr>
              <w:pStyle w:val="10"/>
              <w:rPr>
                <w:rFonts w:hint="eastAsia"/>
              </w:rPr>
            </w:pPr>
            <w:r>
              <w:rPr>
                <w:rFonts w:hint="eastAsia"/>
                <w:lang w:val="en-US" w:eastAsia="zh-CN"/>
              </w:rPr>
              <w:t>法律法规及其他要求在办公室存档一份，并以电子版的形式发到各部门电脑上。定期在网上查看法规的更新情况，目前均为最新版本。</w:t>
            </w:r>
          </w:p>
          <w:p>
            <w:pPr>
              <w:pStyle w:val="4"/>
              <w:rPr>
                <w:rFonts w:hint="eastAsia" w:ascii="宋体" w:hAnsi="宋体" w:eastAsia="宋体" w:cs="宋体"/>
                <w:b w:val="0"/>
                <w:sz w:val="21"/>
                <w:szCs w:val="21"/>
              </w:rPr>
            </w:pPr>
          </w:p>
          <w:p>
            <w:pPr>
              <w:pStyle w:val="4"/>
              <w:rPr>
                <w:rFonts w:hint="eastAsia"/>
                <w:lang w:val="en-US" w:eastAsia="zh-CN"/>
              </w:rPr>
            </w:pPr>
            <w:r>
              <w:rPr>
                <w:rFonts w:hint="eastAsia" w:ascii="宋体" w:hAnsi="宋体" w:eastAsia="宋体" w:cs="宋体"/>
                <w:b w:val="0"/>
                <w:sz w:val="21"/>
                <w:szCs w:val="21"/>
              </w:rPr>
              <w:t>组织管理层策划关于开展环境和职业健康安全管理体系中所采取措施，以便管理环境、安全目标、环境因素、危险源、合规性义务、组织识别的风险等。通过合规性评价、目标考核、运行方案、管理评审、内外部沟通等方式以保证管理体系达到预期结果。具体见各部门审核记录。</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ascii="宋体" w:hAnsi="宋体" w:eastAsia="宋体"/>
                <w:b w:val="0"/>
                <w:sz w:val="21"/>
                <w:szCs w:val="21"/>
              </w:rPr>
              <w:t>目标及其实现的策划</w:t>
            </w:r>
          </w:p>
        </w:tc>
        <w:tc>
          <w:tcPr>
            <w:tcW w:w="960" w:type="dxa"/>
            <w:vAlign w:val="top"/>
          </w:tcPr>
          <w:p>
            <w:pPr>
              <w:pStyle w:val="10"/>
              <w:rPr>
                <w:rFonts w:hint="eastAsia" w:ascii="Times New Roman" w:hAnsi="Times New Roman" w:eastAsia="宋体" w:cs="Times New Roman"/>
                <w:bCs/>
                <w:spacing w:val="10"/>
                <w:kern w:val="2"/>
                <w:sz w:val="21"/>
                <w:lang w:val="en-US" w:eastAsia="zh-CN" w:bidi="ar-SA"/>
              </w:rPr>
            </w:pPr>
            <w:r>
              <w:rPr>
                <w:rFonts w:hint="eastAsia"/>
                <w:lang w:val="en-US" w:eastAsia="zh-CN"/>
              </w:rPr>
              <w:t>QEO6.2</w:t>
            </w:r>
          </w:p>
        </w:tc>
        <w:tc>
          <w:tcPr>
            <w:tcW w:w="10004" w:type="dxa"/>
            <w:vAlign w:val="top"/>
          </w:tcPr>
          <w:p>
            <w:pPr>
              <w:keepNext w:val="0"/>
              <w:keepLines w:val="0"/>
              <w:pageBreakBefore w:val="0"/>
              <w:kinsoku/>
              <w:wordWrap/>
              <w:overflowPunct/>
              <w:topLinePunct w:val="0"/>
              <w:bidi w:val="0"/>
              <w:spacing w:after="0" w:line="240" w:lineRule="auto"/>
              <w:rPr>
                <w:rFonts w:ascii="宋体" w:hAnsi="宋体" w:eastAsia="宋体" w:cs="宋体"/>
                <w:b w:val="0"/>
                <w:color w:val="auto"/>
                <w:sz w:val="21"/>
                <w:szCs w:val="21"/>
              </w:rPr>
            </w:pPr>
            <w:r>
              <w:rPr>
                <w:rFonts w:hint="eastAsia" w:ascii="宋体" w:hAnsi="宋体" w:eastAsia="宋体" w:cs="宋体"/>
                <w:b w:val="0"/>
                <w:color w:val="auto"/>
                <w:sz w:val="21"/>
                <w:szCs w:val="21"/>
              </w:rPr>
              <w:t>公司质量环境安全目标为：            实施情况（20</w:t>
            </w:r>
            <w:r>
              <w:rPr>
                <w:rFonts w:hint="eastAsia" w:ascii="宋体" w:hAnsi="宋体" w:cs="宋体"/>
                <w:b w:val="0"/>
                <w:color w:val="auto"/>
                <w:sz w:val="21"/>
                <w:szCs w:val="21"/>
                <w:lang w:val="en-US" w:eastAsia="zh-CN"/>
              </w:rPr>
              <w:t>21</w:t>
            </w:r>
            <w:r>
              <w:rPr>
                <w:rFonts w:hint="eastAsia" w:ascii="宋体" w:hAnsi="宋体" w:eastAsia="宋体" w:cs="宋体"/>
                <w:b w:val="0"/>
                <w:color w:val="auto"/>
                <w:sz w:val="21"/>
                <w:szCs w:val="21"/>
              </w:rPr>
              <w:t>年</w:t>
            </w:r>
            <w:r>
              <w:rPr>
                <w:rFonts w:hint="eastAsia" w:ascii="宋体" w:hAnsi="宋体" w:cs="宋体"/>
                <w:b w:val="0"/>
                <w:color w:val="auto"/>
                <w:sz w:val="21"/>
                <w:szCs w:val="21"/>
                <w:lang w:val="en-US" w:eastAsia="zh-CN"/>
              </w:rPr>
              <w:t>第三季度、第四季度</w:t>
            </w:r>
            <w:r>
              <w:rPr>
                <w:rFonts w:hint="eastAsia" w:ascii="宋体" w:hAnsi="宋体" w:eastAsia="宋体" w:cs="宋体"/>
                <w:b w:val="0"/>
                <w:color w:val="auto"/>
                <w:sz w:val="21"/>
                <w:szCs w:val="21"/>
              </w:rPr>
              <w:t>）</w:t>
            </w:r>
          </w:p>
          <w:p>
            <w:pPr>
              <w:keepNext w:val="0"/>
              <w:keepLines w:val="0"/>
              <w:pageBreakBefore w:val="0"/>
              <w:kinsoku/>
              <w:wordWrap/>
              <w:overflowPunct/>
              <w:topLinePunct w:val="0"/>
              <w:bidi w:val="0"/>
              <w:spacing w:after="0" w:line="24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质量目标：</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1、产品生产检验合格率不低于90%</w:t>
            </w:r>
            <w:r>
              <w:rPr>
                <w:rFonts w:hint="eastAsia" w:ascii="宋体" w:hAnsi="宋体" w:cs="宋体"/>
                <w:b w:val="0"/>
                <w:color w:val="auto"/>
                <w:sz w:val="21"/>
                <w:szCs w:val="21"/>
                <w:lang w:val="en-US" w:eastAsia="zh-CN"/>
              </w:rPr>
              <w:t xml:space="preserve">               100%        </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2、产品销售服务交货及时率100%</w:t>
            </w:r>
            <w:r>
              <w:rPr>
                <w:rFonts w:hint="eastAsia" w:ascii="宋体" w:hAnsi="宋体" w:cs="宋体"/>
                <w:b w:val="0"/>
                <w:color w:val="auto"/>
                <w:sz w:val="21"/>
                <w:szCs w:val="21"/>
                <w:lang w:val="en-US" w:eastAsia="zh-CN"/>
              </w:rPr>
              <w:t xml:space="preserve">                100% </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3、顾客满意度80%，并逐年提高；</w:t>
            </w:r>
            <w:r>
              <w:rPr>
                <w:rFonts w:hint="eastAsia" w:ascii="宋体" w:hAnsi="宋体" w:cs="宋体"/>
                <w:b w:val="0"/>
                <w:color w:val="auto"/>
                <w:sz w:val="21"/>
                <w:szCs w:val="21"/>
                <w:lang w:val="en-US" w:eastAsia="zh-CN"/>
              </w:rPr>
              <w:t xml:space="preserve">                98%</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4、处理顾客反馈信息率和售后服务100%。</w:t>
            </w:r>
            <w:r>
              <w:rPr>
                <w:rFonts w:hint="eastAsia" w:ascii="宋体" w:hAnsi="宋体" w:cs="宋体"/>
                <w:b w:val="0"/>
                <w:color w:val="auto"/>
                <w:sz w:val="21"/>
                <w:szCs w:val="21"/>
                <w:lang w:val="en-US" w:eastAsia="zh-CN"/>
              </w:rPr>
              <w:t xml:space="preserve">        100%</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5、风险应急举措实施率100%</w:t>
            </w:r>
            <w:r>
              <w:rPr>
                <w:rFonts w:hint="eastAsia" w:ascii="宋体" w:hAnsi="宋体" w:cs="宋体"/>
                <w:b w:val="0"/>
                <w:color w:val="auto"/>
                <w:sz w:val="21"/>
                <w:szCs w:val="21"/>
                <w:lang w:val="en-US" w:eastAsia="zh-CN"/>
              </w:rPr>
              <w:t xml:space="preserve">                    100%</w:t>
            </w:r>
          </w:p>
          <w:p>
            <w:pPr>
              <w:keepNext w:val="0"/>
              <w:keepLines w:val="0"/>
              <w:pageBreakBefore w:val="0"/>
              <w:kinsoku/>
              <w:wordWrap/>
              <w:overflowPunct/>
              <w:topLinePunct w:val="0"/>
              <w:bidi w:val="0"/>
              <w:spacing w:after="0" w:line="24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环境目标</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一般固废物回收率达到80%以上</w:t>
            </w:r>
            <w:r>
              <w:rPr>
                <w:rFonts w:hint="eastAsia" w:ascii="宋体" w:hAnsi="宋体" w:cs="宋体"/>
                <w:b w:val="0"/>
                <w:color w:val="auto"/>
                <w:sz w:val="21"/>
                <w:szCs w:val="21"/>
                <w:lang w:val="en-US" w:eastAsia="zh-CN"/>
              </w:rPr>
              <w:t xml:space="preserve">                  100%</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危险废弃物100%妥善处理</w:t>
            </w:r>
            <w:r>
              <w:rPr>
                <w:rFonts w:hint="eastAsia" w:ascii="宋体" w:hAnsi="宋体" w:cs="宋体"/>
                <w:b w:val="0"/>
                <w:color w:val="auto"/>
                <w:sz w:val="21"/>
                <w:szCs w:val="21"/>
                <w:lang w:val="en-US" w:eastAsia="zh-CN"/>
              </w:rPr>
              <w:t xml:space="preserve">                       100%</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控制火灾发生率0%</w:t>
            </w:r>
            <w:r>
              <w:rPr>
                <w:rFonts w:hint="eastAsia" w:ascii="宋体" w:hAnsi="宋体" w:cs="宋体"/>
                <w:b w:val="0"/>
                <w:color w:val="auto"/>
                <w:sz w:val="21"/>
                <w:szCs w:val="21"/>
                <w:lang w:val="en-US" w:eastAsia="zh-CN"/>
              </w:rPr>
              <w:t xml:space="preserve">                              0</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职业健康安全目标</w:t>
            </w:r>
            <w:r>
              <w:rPr>
                <w:rFonts w:hint="eastAsia" w:ascii="宋体" w:hAnsi="宋体" w:cs="宋体"/>
                <w:b w:val="0"/>
                <w:color w:val="auto"/>
                <w:sz w:val="21"/>
                <w:szCs w:val="21"/>
                <w:lang w:val="en-US" w:eastAsia="zh-CN"/>
              </w:rPr>
              <w:t xml:space="preserve">                              </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工伤频率小于1‰</w:t>
            </w:r>
            <w:r>
              <w:rPr>
                <w:rFonts w:hint="eastAsia" w:ascii="宋体" w:hAnsi="宋体" w:cs="宋体"/>
                <w:b w:val="0"/>
                <w:color w:val="auto"/>
                <w:sz w:val="21"/>
                <w:szCs w:val="21"/>
                <w:lang w:val="en-US" w:eastAsia="zh-CN"/>
              </w:rPr>
              <w:t xml:space="preserve">                               0</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无重伤及死亡事故</w:t>
            </w:r>
            <w:r>
              <w:rPr>
                <w:rFonts w:hint="eastAsia" w:ascii="宋体" w:hAnsi="宋体" w:cs="宋体"/>
                <w:b w:val="0"/>
                <w:color w:val="auto"/>
                <w:sz w:val="21"/>
                <w:szCs w:val="21"/>
                <w:lang w:val="en-US" w:eastAsia="zh-CN"/>
              </w:rPr>
              <w:t xml:space="preserve">                               0</w:t>
            </w:r>
          </w:p>
          <w:p>
            <w:pPr>
              <w:keepNext w:val="0"/>
              <w:keepLines w:val="0"/>
              <w:pageBreakBefore w:val="0"/>
              <w:kinsoku/>
              <w:wordWrap/>
              <w:overflowPunct/>
              <w:topLinePunct w:val="0"/>
              <w:bidi w:val="0"/>
              <w:spacing w:after="0" w:line="240" w:lineRule="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火灾发生率为零</w:t>
            </w:r>
            <w:r>
              <w:rPr>
                <w:rFonts w:hint="eastAsia" w:ascii="宋体" w:hAnsi="宋体" w:cs="宋体"/>
                <w:b w:val="0"/>
                <w:color w:val="auto"/>
                <w:sz w:val="21"/>
                <w:szCs w:val="21"/>
                <w:lang w:val="en-US" w:eastAsia="zh-CN"/>
              </w:rPr>
              <w:t xml:space="preserve">                                 0</w:t>
            </w:r>
          </w:p>
          <w:p>
            <w:pPr>
              <w:keepNext w:val="0"/>
              <w:keepLines w:val="0"/>
              <w:pageBreakBefore w:val="0"/>
              <w:kinsoku/>
              <w:wordWrap/>
              <w:overflowPunct/>
              <w:topLinePunct w:val="0"/>
              <w:bidi w:val="0"/>
              <w:spacing w:after="0" w:line="240" w:lineRule="auto"/>
              <w:rPr>
                <w:rFonts w:hint="eastAsia" w:ascii="宋体" w:hAnsi="宋体" w:eastAsia="宋体" w:cs="Times New Roman"/>
                <w:b w:val="0"/>
                <w:color w:val="auto"/>
                <w:kern w:val="2"/>
                <w:sz w:val="21"/>
                <w:szCs w:val="21"/>
                <w:lang w:val="en-US" w:eastAsia="zh-CN" w:bidi="ar-SA"/>
              </w:rPr>
            </w:pPr>
            <w:r>
              <w:rPr>
                <w:rFonts w:hint="eastAsia" w:ascii="宋体" w:hAnsi="宋体" w:eastAsia="宋体" w:cs="宋体"/>
                <w:b w:val="0"/>
                <w:color w:val="auto"/>
                <w:sz w:val="21"/>
                <w:szCs w:val="21"/>
              </w:rPr>
              <w:t>查《质量、环境、安全目标统计表》</w:t>
            </w:r>
            <w:r>
              <w:rPr>
                <w:rFonts w:hint="eastAsia" w:ascii="宋体" w:hAnsi="宋体" w:cs="宋体"/>
                <w:b w:val="0"/>
                <w:color w:val="auto"/>
                <w:sz w:val="21"/>
                <w:szCs w:val="21"/>
                <w:lang w:eastAsia="zh-CN"/>
              </w:rPr>
              <w:t>2021年</w:t>
            </w:r>
            <w:r>
              <w:rPr>
                <w:rFonts w:hint="eastAsia" w:ascii="宋体" w:hAnsi="宋体" w:cs="宋体"/>
                <w:b w:val="0"/>
                <w:color w:val="auto"/>
                <w:sz w:val="21"/>
                <w:szCs w:val="21"/>
                <w:lang w:val="en-US" w:eastAsia="zh-CN"/>
              </w:rPr>
              <w:t>第三季度、第四季度</w:t>
            </w:r>
            <w:r>
              <w:rPr>
                <w:rFonts w:hint="eastAsia" w:ascii="宋体" w:hAnsi="宋体" w:eastAsia="宋体" w:cs="宋体"/>
                <w:b w:val="0"/>
                <w:color w:val="auto"/>
                <w:sz w:val="21"/>
                <w:szCs w:val="21"/>
              </w:rPr>
              <w:t>对目标进行考核，目标完成情况，均达到目标，并将指标进行了分解。</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val="0"/>
                <w:sz w:val="21"/>
                <w:szCs w:val="21"/>
              </w:rPr>
              <w:t>变更的策划</w:t>
            </w:r>
          </w:p>
        </w:tc>
        <w:tc>
          <w:tcPr>
            <w:tcW w:w="960" w:type="dxa"/>
            <w:vAlign w:val="top"/>
          </w:tcPr>
          <w:p>
            <w:pPr>
              <w:pStyle w:val="10"/>
              <w:rPr>
                <w:rFonts w:hint="eastAsia" w:ascii="Times New Roman" w:hAnsi="Times New Roman" w:eastAsia="宋体" w:cs="Times New Roman"/>
                <w:bCs/>
                <w:spacing w:val="10"/>
                <w:kern w:val="2"/>
                <w:sz w:val="21"/>
                <w:lang w:val="en-US" w:eastAsia="zh-CN" w:bidi="ar-SA"/>
              </w:rPr>
            </w:pPr>
            <w:r>
              <w:rPr>
                <w:rFonts w:hint="eastAsia"/>
                <w:lang w:val="en-US" w:eastAsia="zh-CN"/>
              </w:rPr>
              <w:t>Q6.3</w:t>
            </w:r>
          </w:p>
        </w:tc>
        <w:tc>
          <w:tcPr>
            <w:tcW w:w="10004" w:type="dxa"/>
            <w:vAlign w:val="top"/>
          </w:tcPr>
          <w:p>
            <w:pPr>
              <w:keepNext w:val="0"/>
              <w:keepLines w:val="0"/>
              <w:pageBreakBefore w:val="0"/>
              <w:tabs>
                <w:tab w:val="center" w:pos="3169"/>
              </w:tabs>
              <w:kinsoku/>
              <w:wordWrap/>
              <w:overflowPunct/>
              <w:topLinePunct w:val="0"/>
              <w:bidi w:val="0"/>
              <w:spacing w:after="0" w:line="240" w:lineRule="auto"/>
              <w:jc w:val="left"/>
              <w:rPr>
                <w:rFonts w:ascii="宋体" w:hAnsi="宋体" w:eastAsia="宋体" w:cs="宋体"/>
                <w:b w:val="0"/>
                <w:sz w:val="21"/>
                <w:szCs w:val="21"/>
              </w:rPr>
            </w:pPr>
            <w:r>
              <w:rPr>
                <w:rFonts w:hint="eastAsia" w:ascii="宋体" w:hAnsi="宋体" w:eastAsia="宋体" w:cs="宋体"/>
                <w:b w:val="0"/>
                <w:sz w:val="21"/>
                <w:szCs w:val="21"/>
              </w:rPr>
              <w:t>公司要求：当公司管理体系变更时，应考虑：</w:t>
            </w:r>
          </w:p>
          <w:p>
            <w:pPr>
              <w:keepNext w:val="0"/>
              <w:keepLines w:val="0"/>
              <w:pageBreakBefore w:val="0"/>
              <w:tabs>
                <w:tab w:val="center" w:pos="3169"/>
              </w:tabs>
              <w:kinsoku/>
              <w:wordWrap/>
              <w:overflowPunct/>
              <w:topLinePunct w:val="0"/>
              <w:bidi w:val="0"/>
              <w:spacing w:after="0" w:line="240" w:lineRule="auto"/>
              <w:jc w:val="left"/>
              <w:rPr>
                <w:rFonts w:ascii="宋体" w:hAnsi="宋体" w:eastAsia="宋体" w:cs="宋体"/>
                <w:b w:val="0"/>
                <w:sz w:val="21"/>
                <w:szCs w:val="21"/>
              </w:rPr>
            </w:pPr>
            <w:r>
              <w:rPr>
                <w:rFonts w:hint="eastAsia" w:ascii="宋体" w:hAnsi="宋体" w:eastAsia="宋体" w:cs="宋体"/>
                <w:b w:val="0"/>
                <w:sz w:val="21"/>
                <w:szCs w:val="21"/>
              </w:rPr>
              <w:t>1.变更的目的及潜在后果；</w:t>
            </w:r>
          </w:p>
          <w:p>
            <w:pPr>
              <w:keepNext w:val="0"/>
              <w:keepLines w:val="0"/>
              <w:pageBreakBefore w:val="0"/>
              <w:tabs>
                <w:tab w:val="center" w:pos="3169"/>
              </w:tabs>
              <w:kinsoku/>
              <w:wordWrap/>
              <w:overflowPunct/>
              <w:topLinePunct w:val="0"/>
              <w:bidi w:val="0"/>
              <w:spacing w:after="0" w:line="240" w:lineRule="auto"/>
              <w:jc w:val="left"/>
              <w:rPr>
                <w:rFonts w:ascii="宋体" w:hAnsi="宋体" w:eastAsia="宋体" w:cs="宋体"/>
                <w:b w:val="0"/>
                <w:sz w:val="21"/>
                <w:szCs w:val="21"/>
              </w:rPr>
            </w:pPr>
            <w:r>
              <w:rPr>
                <w:rFonts w:hint="eastAsia" w:ascii="宋体" w:hAnsi="宋体" w:eastAsia="宋体" w:cs="宋体"/>
                <w:b w:val="0"/>
                <w:sz w:val="21"/>
                <w:szCs w:val="21"/>
              </w:rPr>
              <w:t>2.体系的完整性；</w:t>
            </w:r>
          </w:p>
          <w:p>
            <w:pPr>
              <w:keepNext w:val="0"/>
              <w:keepLines w:val="0"/>
              <w:pageBreakBefore w:val="0"/>
              <w:tabs>
                <w:tab w:val="center" w:pos="3169"/>
              </w:tabs>
              <w:kinsoku/>
              <w:wordWrap/>
              <w:overflowPunct/>
              <w:topLinePunct w:val="0"/>
              <w:bidi w:val="0"/>
              <w:spacing w:after="0" w:line="240" w:lineRule="auto"/>
              <w:jc w:val="left"/>
              <w:rPr>
                <w:rFonts w:ascii="宋体" w:hAnsi="宋体" w:eastAsia="宋体" w:cs="宋体"/>
                <w:b w:val="0"/>
                <w:sz w:val="21"/>
                <w:szCs w:val="21"/>
              </w:rPr>
            </w:pPr>
            <w:r>
              <w:rPr>
                <w:rFonts w:hint="eastAsia" w:ascii="宋体" w:hAnsi="宋体" w:eastAsia="宋体" w:cs="宋体"/>
                <w:b w:val="0"/>
                <w:sz w:val="21"/>
                <w:szCs w:val="21"/>
              </w:rPr>
              <w:t>3.资源的可获得性；</w:t>
            </w:r>
          </w:p>
          <w:p>
            <w:pPr>
              <w:keepNext w:val="0"/>
              <w:keepLines w:val="0"/>
              <w:pageBreakBefore w:val="0"/>
              <w:tabs>
                <w:tab w:val="center" w:pos="3169"/>
              </w:tabs>
              <w:kinsoku/>
              <w:wordWrap/>
              <w:overflowPunct/>
              <w:topLinePunct w:val="0"/>
              <w:bidi w:val="0"/>
              <w:spacing w:after="0" w:line="240" w:lineRule="auto"/>
              <w:jc w:val="left"/>
              <w:rPr>
                <w:rFonts w:ascii="宋体" w:hAnsi="宋体" w:eastAsia="宋体" w:cs="宋体"/>
                <w:b w:val="0"/>
                <w:sz w:val="21"/>
                <w:szCs w:val="21"/>
              </w:rPr>
            </w:pPr>
            <w:r>
              <w:rPr>
                <w:rFonts w:hint="eastAsia" w:ascii="宋体" w:hAnsi="宋体" w:eastAsia="宋体" w:cs="宋体"/>
                <w:b w:val="0"/>
                <w:sz w:val="21"/>
                <w:szCs w:val="21"/>
              </w:rPr>
              <w:t xml:space="preserve">4.责权的分配和再分配等因素。  </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val="0"/>
                <w:sz w:val="21"/>
                <w:szCs w:val="21"/>
              </w:rPr>
              <w:t>经查：暂无变更</w:t>
            </w:r>
            <w:r>
              <w:rPr>
                <w:rFonts w:hint="eastAsia" w:ascii="宋体" w:hAnsi="宋体" w:eastAsia="宋体"/>
                <w:b w:val="0"/>
                <w:sz w:val="21"/>
                <w:szCs w:val="21"/>
              </w:rPr>
              <w:t>。</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ascii="宋体" w:hAnsi="宋体" w:eastAsia="宋体"/>
                <w:b w:val="0"/>
                <w:sz w:val="21"/>
                <w:szCs w:val="21"/>
              </w:rPr>
              <w:t>资源</w:t>
            </w:r>
          </w:p>
        </w:tc>
        <w:tc>
          <w:tcPr>
            <w:tcW w:w="960" w:type="dxa"/>
            <w:vAlign w:val="top"/>
          </w:tcPr>
          <w:p>
            <w:pPr>
              <w:pStyle w:val="10"/>
              <w:rPr>
                <w:rFonts w:hint="eastAsia" w:ascii="Times New Roman" w:hAnsi="Times New Roman" w:eastAsia="宋体" w:cs="Times New Roman"/>
                <w:bCs/>
                <w:spacing w:val="10"/>
                <w:kern w:val="2"/>
                <w:sz w:val="21"/>
                <w:lang w:val="en-US" w:eastAsia="zh-CN" w:bidi="ar-SA"/>
              </w:rPr>
            </w:pPr>
            <w:r>
              <w:rPr>
                <w:rFonts w:hint="eastAsia"/>
                <w:lang w:val="en-US" w:eastAsia="zh-CN"/>
              </w:rPr>
              <w:t>QES7.1</w:t>
            </w:r>
          </w:p>
        </w:tc>
        <w:tc>
          <w:tcPr>
            <w:tcW w:w="10004" w:type="dxa"/>
            <w:vAlign w:val="top"/>
          </w:tcPr>
          <w:p>
            <w:pPr>
              <w:keepNext w:val="0"/>
              <w:keepLines w:val="0"/>
              <w:pageBreakBefore w:val="0"/>
              <w:kinsoku/>
              <w:wordWrap/>
              <w:overflowPunct/>
              <w:topLinePunct w:val="0"/>
              <w:bidi w:val="0"/>
              <w:spacing w:after="0" w:line="240" w:lineRule="auto"/>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查公司配备了必要的人力资源，基础设施，规范文件、资金等必要的资源，能够持续满足顾客需求和管理体系改进的需要。</w:t>
            </w:r>
          </w:p>
          <w:p>
            <w:pPr>
              <w:keepNext w:val="0"/>
              <w:keepLines w:val="0"/>
              <w:pageBreakBefore w:val="0"/>
              <w:kinsoku/>
              <w:wordWrap/>
              <w:overflowPunct/>
              <w:topLinePunct w:val="0"/>
              <w:bidi w:val="0"/>
              <w:spacing w:after="0" w:line="240" w:lineRule="auto"/>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人力资源：公司共有员工</w:t>
            </w:r>
            <w:r>
              <w:rPr>
                <w:rFonts w:hint="eastAsia" w:ascii="宋体" w:hAnsi="宋体" w:cs="Times New Roman"/>
                <w:b w:val="0"/>
                <w:kern w:val="2"/>
                <w:sz w:val="21"/>
                <w:szCs w:val="21"/>
                <w:lang w:val="en-US" w:eastAsia="zh-CN" w:bidi="ar-SA"/>
              </w:rPr>
              <w:t>30</w:t>
            </w:r>
            <w:r>
              <w:rPr>
                <w:rFonts w:hint="eastAsia" w:ascii="宋体" w:hAnsi="宋体" w:eastAsia="宋体" w:cs="Times New Roman"/>
                <w:b w:val="0"/>
                <w:kern w:val="2"/>
                <w:sz w:val="21"/>
                <w:szCs w:val="21"/>
                <w:lang w:val="en-US" w:eastAsia="zh-CN" w:bidi="ar-SA"/>
              </w:rPr>
              <w:t>人，满足技术服务要求。</w:t>
            </w:r>
          </w:p>
          <w:p>
            <w:pPr>
              <w:keepNext w:val="0"/>
              <w:keepLines w:val="0"/>
              <w:pageBreakBefore w:val="0"/>
              <w:kinsoku/>
              <w:wordWrap/>
              <w:overflowPunct/>
              <w:topLinePunct w:val="0"/>
              <w:bidi w:val="0"/>
              <w:spacing w:after="0" w:line="240" w:lineRule="auto"/>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基础设施：配备有办公室、库房等基础设施，</w:t>
            </w:r>
          </w:p>
          <w:p>
            <w:pPr>
              <w:keepNext w:val="0"/>
              <w:keepLines w:val="0"/>
              <w:pageBreakBefore w:val="0"/>
              <w:kinsoku/>
              <w:wordWrap/>
              <w:overflowPunct/>
              <w:topLinePunct w:val="0"/>
              <w:bidi w:val="0"/>
              <w:spacing w:after="0" w:line="240" w:lineRule="auto"/>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主要办公、</w:t>
            </w:r>
            <w:r>
              <w:rPr>
                <w:rFonts w:hint="eastAsia" w:ascii="宋体" w:hAnsi="宋体" w:cs="Times New Roman"/>
                <w:b w:val="0"/>
                <w:kern w:val="2"/>
                <w:sz w:val="21"/>
                <w:szCs w:val="21"/>
                <w:lang w:val="en-US" w:eastAsia="zh-CN" w:bidi="ar-SA"/>
              </w:rPr>
              <w:t>生产</w:t>
            </w:r>
            <w:r>
              <w:rPr>
                <w:rFonts w:hint="eastAsia" w:ascii="宋体" w:hAnsi="宋体" w:eastAsia="宋体" w:cs="Times New Roman"/>
                <w:b w:val="0"/>
                <w:kern w:val="2"/>
                <w:sz w:val="21"/>
                <w:szCs w:val="21"/>
                <w:lang w:val="en-US" w:eastAsia="zh-CN" w:bidi="ar-SA"/>
              </w:rPr>
              <w:t>设施：电脑、电话、剪板机</w:t>
            </w:r>
            <w:r>
              <w:rPr>
                <w:rFonts w:hint="eastAsia" w:ascii="宋体" w:hAnsi="宋体" w:cs="Times New Roman"/>
                <w:b w:val="0"/>
                <w:kern w:val="2"/>
                <w:sz w:val="21"/>
                <w:szCs w:val="21"/>
                <w:lang w:val="en-US" w:eastAsia="zh-CN" w:bidi="ar-SA"/>
              </w:rPr>
              <w:t>、</w:t>
            </w:r>
            <w:r>
              <w:rPr>
                <w:rFonts w:hint="eastAsia" w:ascii="宋体" w:hAnsi="宋体" w:eastAsia="宋体" w:cs="Times New Roman"/>
                <w:b w:val="0"/>
                <w:kern w:val="2"/>
                <w:sz w:val="21"/>
                <w:szCs w:val="21"/>
                <w:lang w:val="en-US" w:eastAsia="zh-CN" w:bidi="ar-SA"/>
              </w:rPr>
              <w:t>台式钻床</w:t>
            </w:r>
            <w:r>
              <w:rPr>
                <w:rFonts w:hint="eastAsia" w:ascii="宋体" w:hAnsi="宋体" w:cs="Times New Roman"/>
                <w:b w:val="0"/>
                <w:kern w:val="2"/>
                <w:sz w:val="21"/>
                <w:szCs w:val="21"/>
                <w:lang w:val="en-US" w:eastAsia="zh-CN" w:bidi="ar-SA"/>
              </w:rPr>
              <w:t>、</w:t>
            </w:r>
            <w:r>
              <w:rPr>
                <w:rFonts w:hint="eastAsia" w:ascii="宋体" w:hAnsi="宋体" w:eastAsia="宋体" w:cs="Times New Roman"/>
                <w:b w:val="0"/>
                <w:kern w:val="2"/>
                <w:sz w:val="21"/>
                <w:szCs w:val="21"/>
                <w:lang w:val="en-US" w:eastAsia="zh-CN" w:bidi="ar-SA"/>
              </w:rPr>
              <w:t>台钻</w:t>
            </w:r>
            <w:r>
              <w:rPr>
                <w:rFonts w:hint="eastAsia" w:ascii="宋体" w:hAnsi="宋体" w:cs="Times New Roman"/>
                <w:b w:val="0"/>
                <w:kern w:val="2"/>
                <w:sz w:val="21"/>
                <w:szCs w:val="21"/>
                <w:lang w:val="en-US" w:eastAsia="zh-CN" w:bidi="ar-SA"/>
              </w:rPr>
              <w:t>、</w:t>
            </w:r>
            <w:r>
              <w:rPr>
                <w:rFonts w:hint="eastAsia" w:ascii="宋体" w:hAnsi="宋体" w:eastAsia="宋体" w:cs="Times New Roman"/>
                <w:b w:val="0"/>
                <w:kern w:val="2"/>
                <w:sz w:val="21"/>
                <w:szCs w:val="21"/>
                <w:lang w:val="en-US" w:eastAsia="zh-CN" w:bidi="ar-SA"/>
              </w:rPr>
              <w:t>锯床，满足技术服务需求。</w:t>
            </w:r>
          </w:p>
          <w:p>
            <w:pPr>
              <w:keepNext w:val="0"/>
              <w:keepLines w:val="0"/>
              <w:pageBreakBefore w:val="0"/>
              <w:kinsoku/>
              <w:wordWrap/>
              <w:overflowPunct/>
              <w:topLinePunct w:val="0"/>
              <w:bidi w:val="0"/>
              <w:spacing w:after="0" w:line="240" w:lineRule="auto"/>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运行环境：公司区域面积</w:t>
            </w:r>
            <w:r>
              <w:rPr>
                <w:rFonts w:hint="eastAsia" w:ascii="宋体" w:hAnsi="宋体" w:cs="Times New Roman"/>
                <w:b w:val="0"/>
                <w:kern w:val="2"/>
                <w:sz w:val="21"/>
                <w:szCs w:val="21"/>
                <w:lang w:val="en-US" w:eastAsia="zh-CN" w:bidi="ar-SA"/>
              </w:rPr>
              <w:t>约5</w:t>
            </w:r>
            <w:r>
              <w:rPr>
                <w:rFonts w:hint="eastAsia" w:ascii="宋体" w:hAnsi="宋体" w:eastAsia="宋体" w:cs="Times New Roman"/>
                <w:b w:val="0"/>
                <w:kern w:val="2"/>
                <w:sz w:val="21"/>
                <w:szCs w:val="21"/>
                <w:lang w:val="en-US" w:eastAsia="zh-CN" w:bidi="ar-SA"/>
              </w:rPr>
              <w:t>00平米，布局合理，场所卫生干净整洁，采光良好，有足够的光照度，设备布局合理，产品摆放整齐，办公、</w:t>
            </w:r>
            <w:r>
              <w:rPr>
                <w:rFonts w:hint="eastAsia" w:ascii="宋体" w:hAnsi="宋体" w:cs="Times New Roman"/>
                <w:b w:val="0"/>
                <w:kern w:val="2"/>
                <w:sz w:val="21"/>
                <w:szCs w:val="21"/>
                <w:lang w:val="en-US" w:eastAsia="zh-CN" w:bidi="ar-SA"/>
              </w:rPr>
              <w:t>生产</w:t>
            </w:r>
            <w:r>
              <w:rPr>
                <w:rFonts w:hint="eastAsia" w:ascii="宋体" w:hAnsi="宋体" w:eastAsia="宋体" w:cs="Times New Roman"/>
                <w:b w:val="0"/>
                <w:kern w:val="2"/>
                <w:sz w:val="21"/>
                <w:szCs w:val="21"/>
                <w:lang w:val="en-US" w:eastAsia="zh-CN" w:bidi="ar-SA"/>
              </w:rPr>
              <w:t>环境较好。员工在工作前及工作结束后能够及时清理环境及设备。工作环境得到良好的控制。</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宋体" w:hAnsi="宋体" w:eastAsia="宋体"/>
                <w:b w:val="0"/>
                <w:sz w:val="21"/>
                <w:szCs w:val="21"/>
              </w:rPr>
            </w:pPr>
            <w:r>
              <w:rPr>
                <w:rFonts w:hint="eastAsia" w:ascii="宋体" w:hAnsi="宋体" w:cs="Arial"/>
                <w:color w:val="auto"/>
                <w:sz w:val="21"/>
                <w:szCs w:val="21"/>
              </w:rPr>
              <w:t>意识</w:t>
            </w:r>
          </w:p>
        </w:tc>
        <w:tc>
          <w:tcPr>
            <w:tcW w:w="960" w:type="dxa"/>
            <w:vAlign w:val="top"/>
          </w:tcPr>
          <w:p>
            <w:pPr>
              <w:pStyle w:val="10"/>
              <w:rPr>
                <w:rFonts w:hint="default"/>
                <w:lang w:val="en-US" w:eastAsia="zh-CN"/>
              </w:rPr>
            </w:pPr>
            <w:r>
              <w:rPr>
                <w:rFonts w:hint="eastAsia"/>
                <w:lang w:val="en-US" w:eastAsia="zh-CN"/>
              </w:rPr>
              <w:t>QEO7.3</w:t>
            </w:r>
          </w:p>
        </w:tc>
        <w:tc>
          <w:tcPr>
            <w:tcW w:w="10004" w:type="dxa"/>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现场询问</w:t>
            </w:r>
            <w:r>
              <w:rPr>
                <w:rFonts w:hint="eastAsia" w:asciiTheme="majorEastAsia" w:hAnsiTheme="majorEastAsia" w:eastAsiaTheme="majorEastAsia" w:cstheme="majorEastAsia"/>
                <w:sz w:val="21"/>
                <w:szCs w:val="21"/>
                <w:lang w:val="en-US" w:eastAsia="zh-CN"/>
              </w:rPr>
              <w:t>办公室</w:t>
            </w:r>
            <w:r>
              <w:rPr>
                <w:rFonts w:hint="eastAsia" w:asciiTheme="majorEastAsia" w:hAnsiTheme="majorEastAsia" w:eastAsiaTheme="majorEastAsia" w:cstheme="majorEastAsia"/>
                <w:sz w:val="21"/>
                <w:szCs w:val="21"/>
              </w:rPr>
              <w:t>人员和</w:t>
            </w:r>
            <w:r>
              <w:rPr>
                <w:rFonts w:hint="eastAsia" w:asciiTheme="majorEastAsia" w:hAnsiTheme="majorEastAsia" w:eastAsiaTheme="majorEastAsia" w:cstheme="majorEastAsia"/>
                <w:sz w:val="21"/>
                <w:szCs w:val="21"/>
                <w:lang w:val="en-US" w:eastAsia="zh-CN"/>
              </w:rPr>
              <w:t>生产人员</w:t>
            </w:r>
            <w:r>
              <w:rPr>
                <w:rFonts w:hint="eastAsia" w:asciiTheme="majorEastAsia" w:hAnsiTheme="majorEastAsia" w:eastAsiaTheme="majorEastAsia" w:cstheme="majorEastAsia"/>
                <w:sz w:val="21"/>
                <w:szCs w:val="21"/>
              </w:rPr>
              <w:t>，能回答出公司的管理方针和本岗位的</w:t>
            </w:r>
            <w:r>
              <w:rPr>
                <w:rFonts w:hint="eastAsia" w:asciiTheme="majorEastAsia" w:hAnsiTheme="majorEastAsia" w:eastAsiaTheme="majorEastAsia" w:cstheme="majorEastAsia"/>
                <w:sz w:val="21"/>
                <w:szCs w:val="21"/>
                <w:lang w:val="en-US" w:eastAsia="zh-CN"/>
              </w:rPr>
              <w:t>体系</w:t>
            </w:r>
            <w:r>
              <w:rPr>
                <w:rFonts w:hint="eastAsia" w:asciiTheme="majorEastAsia" w:hAnsiTheme="majorEastAsia" w:eastAsiaTheme="majorEastAsia" w:cstheme="majorEastAsia"/>
                <w:sz w:val="21"/>
                <w:szCs w:val="21"/>
              </w:rPr>
              <w:t>目标，能通过培训提高岗位作业水平和质量意识，明确各岗位要求，自身工作对</w:t>
            </w:r>
            <w:r>
              <w:rPr>
                <w:rFonts w:hint="eastAsia" w:asciiTheme="majorEastAsia" w:hAnsiTheme="majorEastAsia" w:eastAsiaTheme="majorEastAsia" w:cstheme="majorEastAsia"/>
                <w:sz w:val="21"/>
                <w:szCs w:val="21"/>
                <w:lang w:eastAsia="zh-CN"/>
              </w:rPr>
              <w:t>体系目标</w:t>
            </w:r>
            <w:r>
              <w:rPr>
                <w:rFonts w:hint="eastAsia" w:asciiTheme="majorEastAsia" w:hAnsiTheme="majorEastAsia" w:eastAsiaTheme="majorEastAsia" w:cstheme="majorEastAsia"/>
                <w:sz w:val="21"/>
                <w:szCs w:val="21"/>
              </w:rPr>
              <w:t>的影响，以及如何通过培训和互相交流提高产品质量等。</w:t>
            </w:r>
          </w:p>
        </w:tc>
        <w:tc>
          <w:tcPr>
            <w:tcW w:w="1585" w:type="dxa"/>
            <w:vAlign w:val="top"/>
          </w:tcPr>
          <w:p>
            <w:pPr>
              <w:pageBreakBefore w:val="0"/>
              <w:widowControl w:val="0"/>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监视和测量总则</w:t>
            </w:r>
          </w:p>
        </w:tc>
        <w:tc>
          <w:tcPr>
            <w:tcW w:w="960" w:type="dxa"/>
            <w:vAlign w:val="top"/>
          </w:tcPr>
          <w:p>
            <w:pPr>
              <w:pStyle w:val="10"/>
              <w:rPr>
                <w:rFonts w:hint="default"/>
                <w:lang w:val="en-US" w:eastAsia="zh-CN"/>
              </w:rPr>
            </w:pPr>
            <w:r>
              <w:rPr>
                <w:rFonts w:hint="eastAsia"/>
                <w:lang w:val="en-US" w:eastAsia="zh-CN"/>
              </w:rPr>
              <w:t>QES9.1.</w:t>
            </w:r>
          </w:p>
        </w:tc>
        <w:tc>
          <w:tcPr>
            <w:tcW w:w="10004" w:type="dxa"/>
            <w:vAlign w:val="top"/>
          </w:tcPr>
          <w:p>
            <w:pPr>
              <w:keepNext w:val="0"/>
              <w:keepLines w:val="0"/>
              <w:pageBreakBefore w:val="0"/>
              <w:kinsoku/>
              <w:wordWrap/>
              <w:overflowPunct/>
              <w:topLinePunct w:val="0"/>
              <w:bidi w:val="0"/>
              <w:spacing w:after="0" w:line="240" w:lineRule="auto"/>
              <w:rPr>
                <w:rFonts w:hint="eastAsia" w:ascii="宋体" w:hAnsi="宋体" w:eastAsia="宋体" w:cs="宋体"/>
                <w:b w:val="0"/>
                <w:sz w:val="21"/>
                <w:szCs w:val="21"/>
              </w:rPr>
            </w:pPr>
            <w:r>
              <w:rPr>
                <w:rFonts w:hint="eastAsia" w:ascii="宋体" w:hAnsi="宋体" w:eastAsia="宋体" w:cs="宋体"/>
                <w:b w:val="0"/>
                <w:sz w:val="21"/>
                <w:szCs w:val="21"/>
              </w:rPr>
              <w:t>组织策划了对绩效的监视和测量，对绩效的分析和评价，对事项进行汇报的程序等。保留了必要的记录文件。</w:t>
            </w:r>
          </w:p>
          <w:p>
            <w:pPr>
              <w:keepNext w:val="0"/>
              <w:keepLines w:val="0"/>
              <w:pageBreakBefore w:val="0"/>
              <w:kinsoku/>
              <w:wordWrap/>
              <w:overflowPunct/>
              <w:topLinePunct w:val="0"/>
              <w:bidi w:val="0"/>
              <w:spacing w:after="0" w:line="240" w:lineRule="auto"/>
              <w:rPr>
                <w:rFonts w:hint="eastAsia" w:ascii="宋体" w:hAnsi="宋体" w:eastAsia="宋体" w:cs="宋体"/>
                <w:b w:val="0"/>
                <w:sz w:val="21"/>
                <w:szCs w:val="21"/>
              </w:rPr>
            </w:pPr>
            <w:r>
              <w:rPr>
                <w:rFonts w:hint="eastAsia" w:ascii="宋体" w:hAnsi="宋体" w:eastAsia="宋体" w:cs="宋体"/>
                <w:b w:val="0"/>
                <w:sz w:val="21"/>
                <w:szCs w:val="21"/>
              </w:rPr>
              <w:t xml:space="preserve">公司通过管理评审和内部审核，以及定期的目标考核，对发现的问题采取纠正和必要的纠正措施，确保管理体系绩效和有效性。 </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管理评审</w:t>
            </w:r>
          </w:p>
        </w:tc>
        <w:tc>
          <w:tcPr>
            <w:tcW w:w="960" w:type="dxa"/>
            <w:vAlign w:val="top"/>
          </w:tcPr>
          <w:p>
            <w:pPr>
              <w:pStyle w:val="10"/>
              <w:rPr>
                <w:rFonts w:hint="eastAsia" w:ascii="Times New Roman" w:hAnsi="Times New Roman" w:eastAsia="宋体" w:cs="Times New Roman"/>
                <w:bCs/>
                <w:spacing w:val="10"/>
                <w:kern w:val="2"/>
                <w:sz w:val="21"/>
                <w:highlight w:val="none"/>
                <w:lang w:val="en-US" w:eastAsia="zh-CN" w:bidi="ar-SA"/>
              </w:rPr>
            </w:pPr>
            <w:r>
              <w:rPr>
                <w:rFonts w:hint="eastAsia"/>
                <w:highlight w:val="none"/>
                <w:lang w:val="en-US" w:eastAsia="zh-CN"/>
              </w:rPr>
              <w:t>QES9.3</w:t>
            </w:r>
          </w:p>
        </w:tc>
        <w:tc>
          <w:tcPr>
            <w:tcW w:w="10004" w:type="dxa"/>
            <w:vAlign w:val="center"/>
          </w:tcPr>
          <w:p>
            <w:pPr>
              <w:rPr>
                <w:rFonts w:hint="eastAsia"/>
                <w:lang w:val="en-US" w:eastAsia="zh-CN"/>
              </w:rPr>
            </w:pPr>
            <w:r>
              <w:rPr>
                <w:rFonts w:hint="eastAsia"/>
                <w:lang w:val="en-US" w:eastAsia="zh-CN"/>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lang w:val="en-US" w:eastAsia="zh-CN"/>
              </w:rPr>
            </w:pPr>
            <w:r>
              <w:rPr>
                <w:rFonts w:hint="eastAsia"/>
                <w:lang w:val="en-US" w:eastAsia="zh-CN"/>
              </w:rPr>
              <w:sym w:font="Wingdings 2" w:char="F098"/>
            </w:r>
            <w:r>
              <w:rPr>
                <w:rFonts w:hint="eastAsia"/>
                <w:lang w:val="en-US" w:eastAsia="zh-CN"/>
              </w:rPr>
              <w:t>查管理评审的计划：管理评审的时间：</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ascii="楷体" w:hAnsi="楷体" w:eastAsia="楷体"/>
                <w:szCs w:val="21"/>
              </w:rPr>
              <w:t>1</w:t>
            </w:r>
            <w:r>
              <w:rPr>
                <w:rFonts w:hint="eastAsia" w:ascii="楷体" w:hAnsi="楷体" w:eastAsia="楷体"/>
                <w:szCs w:val="21"/>
                <w:lang w:val="en-US" w:eastAsia="zh-CN"/>
              </w:rPr>
              <w:t>2</w:t>
            </w:r>
            <w:r>
              <w:rPr>
                <w:rFonts w:hint="eastAsia" w:ascii="楷体" w:hAnsi="楷体" w:eastAsia="楷体"/>
                <w:szCs w:val="21"/>
              </w:rPr>
              <w:t>月2</w:t>
            </w:r>
            <w:r>
              <w:rPr>
                <w:rFonts w:hint="eastAsia" w:ascii="楷体" w:hAnsi="楷体" w:eastAsia="楷体"/>
                <w:szCs w:val="21"/>
                <w:lang w:val="en-US" w:eastAsia="zh-CN"/>
              </w:rPr>
              <w:t>5</w:t>
            </w:r>
            <w:r>
              <w:rPr>
                <w:rFonts w:hint="eastAsia" w:ascii="楷体" w:hAnsi="楷体" w:eastAsia="楷体"/>
                <w:szCs w:val="21"/>
              </w:rPr>
              <w:t>日</w:t>
            </w:r>
          </w:p>
          <w:p>
            <w:pPr>
              <w:rPr>
                <w:rFonts w:hint="eastAsia"/>
                <w:lang w:val="en-US" w:eastAsia="zh-CN"/>
              </w:rPr>
            </w:pPr>
            <w:r>
              <w:rPr>
                <w:rFonts w:hint="eastAsia"/>
                <w:lang w:val="en-US" w:eastAsia="zh-CN"/>
              </w:rPr>
              <w:t xml:space="preserve">主持人：总经理    参加人：管理者代表、各部门负责人 </w:t>
            </w:r>
          </w:p>
          <w:p>
            <w:pPr>
              <w:rPr>
                <w:rFonts w:hint="eastAsia" w:ascii="Times New Roman" w:hAnsi="Times New Roman" w:cs="Times New Roman"/>
                <w:szCs w:val="22"/>
                <w:lang w:val="en-US" w:eastAsia="zh-CN"/>
              </w:rPr>
            </w:pPr>
            <w:r>
              <w:rPr>
                <w:rFonts w:hint="eastAsia"/>
                <w:lang w:val="en-US" w:eastAsia="zh-CN"/>
              </w:rPr>
              <w:t>管理评审输入的资料：</w:t>
            </w:r>
            <w:r>
              <w:rPr>
                <w:rFonts w:hint="eastAsia" w:ascii="Times New Roman" w:hAnsi="Times New Roman" w:cs="Times New Roman"/>
                <w:szCs w:val="22"/>
                <w:lang w:val="en-US" w:eastAsia="zh-CN"/>
              </w:rPr>
              <w:t>1、以往管理评审所采取措施的实施情况；2、与质量、环境、安全管理体系相关的内外部因素、问题的变化；3、 顾客满意和有关相关方的反馈，相关方的需求和期望，包括合规义务4、其重要环境因素5、质量、环境、安全目标的实现程度6、过程绩效以及产品和服务的合格情况7、不合格及纠正措施8、监视和测量结果9、其合规义务的履行情况10、（内部）审核结果和合规性评价的结果11、参与和协商的结果12、外部供方的绩效 13、资源的充分性14、事件调查、纠正措施和预防措施的情况15、来自相关方的有关信息交流，包括抱怨、投诉；16、应对风险和机遇所采取措施情况及有效性17、改进机会</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编制：</w:t>
            </w:r>
            <w:r>
              <w:rPr>
                <w:rFonts w:hint="eastAsia" w:cs="Times New Roman"/>
                <w:szCs w:val="22"/>
                <w:lang w:val="en-US" w:eastAsia="zh-CN"/>
              </w:rPr>
              <w:t>王聪</w:t>
            </w:r>
            <w:r>
              <w:rPr>
                <w:rFonts w:hint="eastAsia" w:ascii="Times New Roman" w:hAnsi="Times New Roman" w:cs="Times New Roman"/>
                <w:szCs w:val="22"/>
                <w:lang w:val="en-US" w:eastAsia="zh-CN"/>
              </w:rPr>
              <w:t xml:space="preserve">  日期：2021.1</w:t>
            </w:r>
            <w:r>
              <w:rPr>
                <w:rFonts w:hint="eastAsia" w:cs="Times New Roman"/>
                <w:szCs w:val="22"/>
                <w:lang w:val="en-US" w:eastAsia="zh-CN"/>
              </w:rPr>
              <w:t>2</w:t>
            </w:r>
            <w:r>
              <w:rPr>
                <w:rFonts w:hint="eastAsia" w:ascii="Times New Roman" w:hAnsi="Times New Roman" w:cs="Times New Roman"/>
                <w:szCs w:val="22"/>
                <w:lang w:val="en-US" w:eastAsia="zh-CN"/>
              </w:rPr>
              <w:t>.15   批准：</w:t>
            </w:r>
            <w:r>
              <w:rPr>
                <w:rFonts w:hint="eastAsia" w:cs="Times New Roman"/>
                <w:szCs w:val="22"/>
                <w:lang w:val="en-US" w:eastAsia="zh-CN"/>
              </w:rPr>
              <w:t>王东鹏</w:t>
            </w:r>
            <w:r>
              <w:rPr>
                <w:rFonts w:hint="eastAsia" w:ascii="Times New Roman" w:hAnsi="Times New Roman" w:cs="Times New Roman"/>
                <w:szCs w:val="22"/>
                <w:lang w:val="en-US" w:eastAsia="zh-CN"/>
              </w:rPr>
              <w:t xml:space="preserve"> 日期：2021.1</w:t>
            </w:r>
            <w:r>
              <w:rPr>
                <w:rFonts w:hint="eastAsia" w:cs="Times New Roman"/>
                <w:szCs w:val="22"/>
                <w:lang w:val="en-US" w:eastAsia="zh-CN"/>
              </w:rPr>
              <w:t>2</w:t>
            </w:r>
            <w:r>
              <w:rPr>
                <w:rFonts w:hint="eastAsia" w:ascii="Times New Roman" w:hAnsi="Times New Roman" w:cs="Times New Roman"/>
                <w:szCs w:val="22"/>
                <w:lang w:val="en-US" w:eastAsia="zh-CN"/>
              </w:rPr>
              <w:t>.15</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2" w:char="F098"/>
            </w:r>
            <w:r>
              <w:rPr>
                <w:rFonts w:hint="eastAsia" w:ascii="Times New Roman" w:hAnsi="Times New Roman" w:cs="Times New Roman"/>
                <w:szCs w:val="22"/>
                <w:lang w:val="en-US" w:eastAsia="zh-CN"/>
              </w:rPr>
              <w:t>2021年1</w:t>
            </w:r>
            <w:r>
              <w:rPr>
                <w:rFonts w:hint="eastAsia" w:cs="Times New Roman"/>
                <w:szCs w:val="22"/>
                <w:lang w:val="en-US" w:eastAsia="zh-CN"/>
              </w:rPr>
              <w:t>2</w:t>
            </w:r>
            <w:r>
              <w:rPr>
                <w:rFonts w:hint="eastAsia" w:ascii="Times New Roman" w:hAnsi="Times New Roman" w:cs="Times New Roman"/>
                <w:szCs w:val="22"/>
                <w:lang w:val="en-US" w:eastAsia="zh-CN"/>
              </w:rPr>
              <w:t>月2</w:t>
            </w:r>
            <w:r>
              <w:rPr>
                <w:rFonts w:hint="eastAsia" w:cs="Times New Roman"/>
                <w:szCs w:val="22"/>
                <w:lang w:val="en-US" w:eastAsia="zh-CN"/>
              </w:rPr>
              <w:t>5</w:t>
            </w:r>
            <w:r>
              <w:rPr>
                <w:rFonts w:hint="eastAsia" w:ascii="Times New Roman" w:hAnsi="Times New Roman" w:cs="Times New Roman"/>
                <w:szCs w:val="22"/>
                <w:lang w:val="en-US" w:eastAsia="zh-CN"/>
              </w:rPr>
              <w:t>日由总经理主持召开了公司本年度的管理评审会议。参加人员有各部门负责人。各部门对贯彻执行GB/T19001-2016标准、GB/T24001-2016标准和GB/T45001-2020标准以来的工作进行了汇报、分析。管理者代表对管理体系运行情况进行了总结，总经理对公司管理方针、目标、管理体系的适宜性、充分性及有效性进行评价，提出指导性意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2" w:char="F098"/>
            </w:r>
            <w:r>
              <w:rPr>
                <w:rFonts w:hint="eastAsia" w:ascii="Times New Roman" w:hAnsi="Times New Roman" w:cs="Times New Roman"/>
                <w:szCs w:val="22"/>
                <w:lang w:val="en-US" w:eastAsia="zh-CN"/>
              </w:rPr>
              <w:t>查看2021年度管理评审报告，编制：</w:t>
            </w:r>
            <w:r>
              <w:rPr>
                <w:rFonts w:hint="eastAsia" w:cs="Times New Roman"/>
                <w:szCs w:val="22"/>
                <w:lang w:val="en-US" w:eastAsia="zh-CN"/>
              </w:rPr>
              <w:t>王聪</w:t>
            </w:r>
            <w:r>
              <w:rPr>
                <w:rFonts w:hint="eastAsia" w:ascii="Times New Roman" w:hAnsi="Times New Roman" w:cs="Times New Roman"/>
                <w:szCs w:val="22"/>
                <w:lang w:val="en-US" w:eastAsia="zh-CN"/>
              </w:rPr>
              <w:t xml:space="preserve">  日期：2021.1</w:t>
            </w:r>
            <w:r>
              <w:rPr>
                <w:rFonts w:hint="eastAsia" w:cs="Times New Roman"/>
                <w:szCs w:val="22"/>
                <w:lang w:val="en-US" w:eastAsia="zh-CN"/>
              </w:rPr>
              <w:t>2</w:t>
            </w:r>
            <w:r>
              <w:rPr>
                <w:rFonts w:hint="eastAsia" w:ascii="Times New Roman" w:hAnsi="Times New Roman" w:cs="Times New Roman"/>
                <w:szCs w:val="22"/>
                <w:lang w:val="en-US" w:eastAsia="zh-CN"/>
              </w:rPr>
              <w:t>.</w:t>
            </w:r>
            <w:r>
              <w:rPr>
                <w:rFonts w:hint="eastAsia" w:cs="Times New Roman"/>
                <w:szCs w:val="22"/>
                <w:lang w:val="en-US" w:eastAsia="zh-CN"/>
              </w:rPr>
              <w:t>2</w:t>
            </w:r>
            <w:r>
              <w:rPr>
                <w:rFonts w:hint="eastAsia" w:ascii="Times New Roman" w:hAnsi="Times New Roman" w:cs="Times New Roman"/>
                <w:szCs w:val="22"/>
                <w:lang w:val="en-US" w:eastAsia="zh-CN"/>
              </w:rPr>
              <w:t>5   批准：</w:t>
            </w:r>
            <w:r>
              <w:rPr>
                <w:rFonts w:hint="eastAsia" w:cs="Times New Roman"/>
                <w:szCs w:val="22"/>
                <w:lang w:val="en-US" w:eastAsia="zh-CN"/>
              </w:rPr>
              <w:t>王东鹏</w:t>
            </w:r>
            <w:r>
              <w:rPr>
                <w:rFonts w:hint="eastAsia" w:ascii="Times New Roman" w:hAnsi="Times New Roman" w:cs="Times New Roman"/>
                <w:szCs w:val="22"/>
                <w:lang w:val="en-US" w:eastAsia="zh-CN"/>
              </w:rPr>
              <w:t xml:space="preserve"> 日期：2021.1</w:t>
            </w:r>
            <w:r>
              <w:rPr>
                <w:rFonts w:hint="eastAsia" w:cs="Times New Roman"/>
                <w:szCs w:val="22"/>
                <w:lang w:val="en-US" w:eastAsia="zh-CN"/>
              </w:rPr>
              <w:t>2</w:t>
            </w:r>
            <w:r>
              <w:rPr>
                <w:rFonts w:hint="eastAsia" w:ascii="Times New Roman" w:hAnsi="Times New Roman" w:cs="Times New Roman"/>
                <w:szCs w:val="22"/>
                <w:lang w:val="en-US" w:eastAsia="zh-CN"/>
              </w:rPr>
              <w:t>.</w:t>
            </w:r>
            <w:r>
              <w:rPr>
                <w:rFonts w:hint="eastAsia" w:cs="Times New Roman"/>
                <w:szCs w:val="22"/>
                <w:lang w:val="en-US" w:eastAsia="zh-CN"/>
              </w:rPr>
              <w:t>2</w:t>
            </w:r>
            <w:r>
              <w:rPr>
                <w:rFonts w:hint="eastAsia" w:ascii="Times New Roman" w:hAnsi="Times New Roman" w:cs="Times New Roman"/>
                <w:szCs w:val="22"/>
                <w:lang w:val="en-US" w:eastAsia="zh-CN"/>
              </w:rPr>
              <w:t>5</w:t>
            </w:r>
          </w:p>
          <w:p>
            <w:pPr>
              <w:rPr>
                <w:rFonts w:hint="eastAsia"/>
                <w:lang w:val="en-US" w:eastAsia="zh-CN"/>
              </w:rPr>
            </w:pPr>
            <w:r>
              <w:rPr>
                <w:rFonts w:hint="eastAsia" w:ascii="Times New Roman" w:hAnsi="Times New Roman" w:cs="Times New Roman"/>
                <w:szCs w:val="22"/>
                <w:lang w:val="en-US" w:eastAsia="zh-CN"/>
              </w:rPr>
              <w:t>结论：经过内审和管理评审的检验证实，我公司现有的管理体系及制定的管理方针、目标是适宜、充分的，管理体系运行基本有效。</w:t>
            </w:r>
            <w:r>
              <w:rPr>
                <w:rFonts w:hint="eastAsia" w:cs="Times New Roman"/>
                <w:szCs w:val="22"/>
                <w:lang w:val="en-US" w:eastAsia="zh-CN"/>
              </w:rPr>
              <w:t>办公室</w:t>
            </w:r>
            <w:r>
              <w:rPr>
                <w:rFonts w:hint="eastAsia" w:ascii="Times New Roman" w:hAnsi="Times New Roman" w:cs="Times New Roman"/>
                <w:szCs w:val="22"/>
                <w:lang w:val="en-US" w:eastAsia="zh-CN"/>
              </w:rPr>
              <w:t>负责根据各部门提出的建议，加大明年改进工作的实施力度。希望各部门按照内审、管理评审及整改的标准继续做好工作，大家在各自的岗位上再接再厉，按照GB/T19001-2016标准、GB/T24001-2016、GB/T45001-2020要求，不断的持续改进我们的工作。</w:t>
            </w:r>
          </w:p>
          <w:p>
            <w:pPr>
              <w:rPr>
                <w:rFonts w:hint="eastAsia" w:ascii="Times New Roman" w:hAnsi="Times New Roman" w:eastAsia="宋体" w:cs="Times New Roman"/>
                <w:kern w:val="2"/>
                <w:sz w:val="21"/>
                <w:lang w:val="en-US" w:eastAsia="zh-CN" w:bidi="ar-SA"/>
              </w:rPr>
            </w:pPr>
            <w:r>
              <w:rPr>
                <w:rFonts w:hint="eastAsia"/>
                <w:lang w:val="en-US" w:eastAsia="zh-CN"/>
              </w:rPr>
              <w:sym w:font="Wingdings 2" w:char="F098"/>
            </w:r>
            <w:r>
              <w:rPr>
                <w:rFonts w:hint="eastAsia" w:ascii="Times New Roman" w:hAnsi="Times New Roman" w:cs="Times New Roman"/>
                <w:szCs w:val="22"/>
                <w:lang w:val="en-US" w:eastAsia="zh-CN"/>
              </w:rPr>
              <w:t>持续改进：加强文件管控</w:t>
            </w:r>
            <w:r>
              <w:rPr>
                <w:rFonts w:hint="eastAsia" w:cs="Times New Roman"/>
                <w:szCs w:val="22"/>
                <w:lang w:val="en-US" w:eastAsia="zh-CN"/>
              </w:rPr>
              <w:t>，已于2022年1月15日完成了监控</w:t>
            </w:r>
            <w:r>
              <w:rPr>
                <w:rFonts w:hint="eastAsia"/>
                <w:lang w:val="en-US" w:eastAsia="zh-CN"/>
              </w:rPr>
              <w:t>。</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tabs>
                <w:tab w:val="center" w:pos="3169"/>
              </w:tabs>
              <w:kinsoku/>
              <w:wordWrap/>
              <w:overflowPunct/>
              <w:topLinePunct w:val="0"/>
              <w:bidi w:val="0"/>
              <w:spacing w:after="0" w:line="240" w:lineRule="auto"/>
              <w:jc w:val="left"/>
              <w:rPr>
                <w:rFonts w:hint="eastAsia" w:ascii="宋体" w:hAnsi="宋体" w:eastAsia="宋体" w:cs="宋体"/>
                <w:b w:val="0"/>
                <w:sz w:val="21"/>
                <w:szCs w:val="21"/>
                <w:lang w:eastAsia="zh-CN"/>
              </w:rPr>
            </w:pPr>
            <w:r>
              <w:rPr>
                <w:rFonts w:hint="eastAsia" w:ascii="宋体" w:hAnsi="宋体" w:eastAsia="宋体" w:cs="宋体"/>
                <w:b w:val="0"/>
                <w:sz w:val="21"/>
                <w:szCs w:val="21"/>
              </w:rPr>
              <w:t>改进 总则</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b w:val="0"/>
                <w:sz w:val="21"/>
                <w:szCs w:val="21"/>
              </w:rPr>
              <w:t>持续改进</w:t>
            </w:r>
          </w:p>
        </w:tc>
        <w:tc>
          <w:tcPr>
            <w:tcW w:w="960" w:type="dxa"/>
            <w:vAlign w:val="top"/>
          </w:tcPr>
          <w:p>
            <w:pPr>
              <w:pStyle w:val="10"/>
              <w:rPr>
                <w:rFonts w:hint="eastAsia" w:ascii="Times New Roman" w:hAnsi="Times New Roman" w:eastAsia="宋体" w:cs="Times New Roman"/>
                <w:bCs/>
                <w:spacing w:val="10"/>
                <w:kern w:val="2"/>
                <w:sz w:val="21"/>
                <w:lang w:val="en-US" w:eastAsia="zh-CN" w:bidi="ar-SA"/>
              </w:rPr>
            </w:pPr>
            <w:r>
              <w:rPr>
                <w:rFonts w:hint="eastAsia"/>
                <w:lang w:val="en-US" w:eastAsia="zh-CN"/>
              </w:rPr>
              <w:t>QES10.1;10.3</w:t>
            </w:r>
          </w:p>
        </w:tc>
        <w:tc>
          <w:tcPr>
            <w:tcW w:w="10004" w:type="dxa"/>
            <w:vAlign w:val="top"/>
          </w:tcPr>
          <w:p>
            <w:pPr>
              <w:keepNext w:val="0"/>
              <w:keepLines w:val="0"/>
              <w:pageBreakBefore w:val="0"/>
              <w:kinsoku/>
              <w:wordWrap/>
              <w:overflowPunct/>
              <w:topLinePunct w:val="0"/>
              <w:bidi w:val="0"/>
              <w:spacing w:after="0" w:line="240" w:lineRule="auto"/>
              <w:ind w:firstLine="420" w:firstLineChars="200"/>
              <w:rPr>
                <w:rFonts w:ascii="宋体" w:hAnsi="宋体" w:eastAsia="宋体" w:cs="宋体"/>
                <w:b w:val="0"/>
                <w:sz w:val="21"/>
                <w:szCs w:val="21"/>
              </w:rPr>
            </w:pPr>
            <w:r>
              <w:rPr>
                <w:rFonts w:hint="eastAsia" w:ascii="宋体" w:hAnsi="宋体" w:eastAsia="宋体" w:cs="宋体"/>
                <w:b w:val="0"/>
                <w:sz w:val="21"/>
                <w:szCs w:val="21"/>
              </w:rPr>
              <w:t>公司制定系列程序文件《管理评审控制程序》、《不合格</w:t>
            </w:r>
            <w:r>
              <w:rPr>
                <w:rFonts w:hint="eastAsia" w:ascii="宋体" w:hAnsi="宋体" w:cs="宋体"/>
                <w:b w:val="0"/>
                <w:sz w:val="21"/>
                <w:szCs w:val="21"/>
                <w:lang w:val="en-US" w:eastAsia="zh-CN"/>
              </w:rPr>
              <w:t>品</w:t>
            </w:r>
            <w:r>
              <w:rPr>
                <w:rFonts w:hint="eastAsia" w:ascii="宋体" w:hAnsi="宋体" w:eastAsia="宋体" w:cs="宋体"/>
                <w:b w:val="0"/>
                <w:sz w:val="21"/>
                <w:szCs w:val="21"/>
              </w:rPr>
              <w:t>控制程序》、《过程测量和监控</w:t>
            </w:r>
            <w:r>
              <w:rPr>
                <w:rFonts w:hint="eastAsia" w:eastAsia="宋体"/>
                <w:b w:val="0"/>
                <w:sz w:val="21"/>
                <w:szCs w:val="21"/>
              </w:rPr>
              <w:t>程序</w:t>
            </w:r>
            <w:r>
              <w:rPr>
                <w:rFonts w:hint="eastAsia" w:ascii="宋体" w:hAnsi="宋体" w:eastAsia="宋体" w:cs="宋体"/>
                <w:b w:val="0"/>
                <w:sz w:val="21"/>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kinsoku/>
              <w:wordWrap/>
              <w:overflowPunct/>
              <w:topLinePunct w:val="0"/>
              <w:bidi w:val="0"/>
              <w:spacing w:after="0" w:line="240" w:lineRule="auto"/>
              <w:ind w:firstLine="420" w:firstLineChars="200"/>
              <w:rPr>
                <w:rFonts w:hint="eastAsia" w:ascii="宋体" w:hAnsi="宋体" w:eastAsia="宋体" w:cs="宋体"/>
                <w:b w:val="0"/>
                <w:kern w:val="2"/>
                <w:sz w:val="21"/>
                <w:szCs w:val="21"/>
                <w:lang w:val="en-US" w:eastAsia="zh-CN" w:bidi="ar-SA"/>
              </w:rPr>
            </w:pPr>
            <w:r>
              <w:rPr>
                <w:rFonts w:hint="eastAsia" w:ascii="宋体" w:hAnsi="宋体" w:eastAsia="宋体" w:cs="宋体"/>
                <w:b w:val="0"/>
                <w:sz w:val="21"/>
                <w:szCs w:val="21"/>
              </w:rPr>
              <w:t>公司主要按策划的管理手册、程序文件等实施运行，主要采用内审、管理评审、数据分析、纠正和预防措施、</w:t>
            </w:r>
            <w:r>
              <w:rPr>
                <w:rFonts w:hint="eastAsia" w:ascii="宋体" w:hAnsi="宋体" w:cs="宋体"/>
                <w:b w:val="0"/>
                <w:sz w:val="21"/>
                <w:szCs w:val="21"/>
                <w:lang w:val="en-US" w:eastAsia="zh-CN"/>
              </w:rPr>
              <w:t>管理</w:t>
            </w:r>
            <w:r>
              <w:rPr>
                <w:rFonts w:hint="eastAsia" w:ascii="宋体" w:hAnsi="宋体" w:eastAsia="宋体" w:cs="宋体"/>
                <w:b w:val="0"/>
                <w:sz w:val="21"/>
                <w:szCs w:val="21"/>
              </w:rPr>
              <w:t>方针和目标等来实现对质量、环境和职业健康安全管理体系的改进，另外主要通过日常工作中发现的问题及时予以调整解决来实现。</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范围的确认，资质的确认，法律法规执行情况，质量环境安全投诉或事故/政府主管部门监督抽查情况，上次不符合的验证</w:t>
            </w:r>
          </w:p>
        </w:tc>
        <w:tc>
          <w:tcPr>
            <w:tcW w:w="960" w:type="dxa"/>
            <w:vAlign w:val="top"/>
          </w:tcPr>
          <w:p>
            <w:pPr>
              <w:pStyle w:val="10"/>
              <w:rPr>
                <w:rFonts w:hint="eastAsia" w:ascii="Times New Roman" w:hAnsi="Times New Roman" w:eastAsia="宋体" w:cs="Times New Roman"/>
                <w:bCs/>
                <w:spacing w:val="10"/>
                <w:kern w:val="2"/>
                <w:sz w:val="21"/>
                <w:lang w:val="en-US" w:eastAsia="zh-CN" w:bidi="ar-SA"/>
              </w:rPr>
            </w:pPr>
          </w:p>
        </w:tc>
        <w:tc>
          <w:tcPr>
            <w:tcW w:w="10004" w:type="dxa"/>
            <w:vAlign w:val="top"/>
          </w:tcPr>
          <w:p>
            <w:pPr>
              <w:keepNext w:val="0"/>
              <w:keepLines w:val="0"/>
              <w:pageBreakBefore w:val="0"/>
              <w:kinsoku/>
              <w:wordWrap/>
              <w:overflowPunct/>
              <w:topLinePunct w:val="0"/>
              <w:bidi w:val="0"/>
              <w:spacing w:after="0" w:line="240" w:lineRule="auto"/>
              <w:rPr>
                <w:rFonts w:hint="eastAsia" w:ascii="宋体" w:hAnsi="宋体" w:eastAsia="宋体" w:cs="宋体"/>
                <w:b w:val="0"/>
                <w:sz w:val="21"/>
                <w:szCs w:val="21"/>
              </w:rPr>
            </w:pPr>
            <w:r>
              <w:rPr>
                <w:rFonts w:hint="eastAsia" w:ascii="宋体" w:hAnsi="宋体" w:eastAsia="宋体" w:cs="宋体"/>
                <w:b w:val="0"/>
                <w:sz w:val="21"/>
                <w:szCs w:val="21"/>
              </w:rPr>
              <w:t>现场确认，公司管理体系覆盖范围：</w:t>
            </w:r>
          </w:p>
          <w:p>
            <w:pPr>
              <w:keepNext w:val="0"/>
              <w:keepLines w:val="0"/>
              <w:pageBreakBefore w:val="0"/>
              <w:kinsoku/>
              <w:wordWrap/>
              <w:overflowPunct/>
              <w:topLinePunct w:val="0"/>
              <w:bidi w:val="0"/>
              <w:spacing w:after="0" w:line="240" w:lineRule="auto"/>
              <w:rPr>
                <w:rFonts w:hint="eastAsia" w:ascii="宋体" w:hAnsi="宋体" w:eastAsia="宋体" w:cs="宋体"/>
                <w:b w:val="0"/>
                <w:sz w:val="21"/>
                <w:szCs w:val="21"/>
                <w:lang w:eastAsia="zh-CN"/>
              </w:rPr>
            </w:pPr>
            <w:r>
              <w:rPr>
                <w:rFonts w:hint="eastAsia" w:ascii="宋体" w:hAnsi="宋体" w:eastAsia="宋体" w:cs="宋体"/>
                <w:b w:val="0"/>
                <w:sz w:val="21"/>
                <w:szCs w:val="21"/>
              </w:rPr>
              <w:t>Q：</w:t>
            </w:r>
            <w:r>
              <w:rPr>
                <w:rFonts w:hint="eastAsia" w:ascii="宋体" w:hAnsi="宋体" w:cs="宋体"/>
                <w:b w:val="0"/>
                <w:sz w:val="21"/>
                <w:szCs w:val="21"/>
                <w:lang w:eastAsia="zh-CN"/>
              </w:rPr>
              <w:t>标识牌、围栏、防鸟设备、验电器、接地操作杆、携带型短路接地线的生产和销售；五金材料、安全带、安全帽、绝缘靴、绝缘手套的销售</w:t>
            </w:r>
          </w:p>
          <w:p>
            <w:pPr>
              <w:keepNext w:val="0"/>
              <w:keepLines w:val="0"/>
              <w:pageBreakBefore w:val="0"/>
              <w:kinsoku/>
              <w:wordWrap/>
              <w:overflowPunct/>
              <w:topLinePunct w:val="0"/>
              <w:bidi w:val="0"/>
              <w:spacing w:after="0" w:line="240" w:lineRule="auto"/>
              <w:rPr>
                <w:rFonts w:hint="eastAsia" w:ascii="宋体" w:hAnsi="宋体" w:eastAsia="宋体" w:cs="宋体"/>
                <w:b w:val="0"/>
                <w:sz w:val="21"/>
                <w:szCs w:val="21"/>
              </w:rPr>
            </w:pPr>
            <w:r>
              <w:rPr>
                <w:rFonts w:hint="eastAsia" w:ascii="宋体" w:hAnsi="宋体" w:eastAsia="宋体" w:cs="宋体"/>
                <w:b w:val="0"/>
                <w:sz w:val="21"/>
                <w:szCs w:val="21"/>
              </w:rPr>
              <w:t>E：</w:t>
            </w:r>
            <w:r>
              <w:rPr>
                <w:rFonts w:hint="eastAsia" w:ascii="宋体" w:hAnsi="宋体" w:cs="宋体"/>
                <w:b w:val="0"/>
                <w:sz w:val="21"/>
                <w:szCs w:val="21"/>
                <w:lang w:eastAsia="zh-CN"/>
              </w:rPr>
              <w:t>标识牌、围栏、防鸟设备、验电器、接地操作杆、携带型短路接地线的生产和销售；五金材料、安全带、安全帽、绝缘靴、绝缘手套的销售所涉及场所的相关环境管理活动</w:t>
            </w:r>
          </w:p>
          <w:p>
            <w:pPr>
              <w:keepNext w:val="0"/>
              <w:keepLines w:val="0"/>
              <w:pageBreakBefore w:val="0"/>
              <w:kinsoku/>
              <w:wordWrap/>
              <w:overflowPunct/>
              <w:topLinePunct w:val="0"/>
              <w:bidi w:val="0"/>
              <w:spacing w:after="0" w:line="240" w:lineRule="auto"/>
              <w:rPr>
                <w:rFonts w:hint="eastAsia" w:ascii="宋体" w:hAnsi="宋体" w:eastAsia="宋体" w:cs="宋体"/>
                <w:b w:val="0"/>
                <w:sz w:val="21"/>
                <w:szCs w:val="21"/>
              </w:rPr>
            </w:pPr>
            <w:r>
              <w:rPr>
                <w:rFonts w:hint="eastAsia" w:ascii="宋体" w:hAnsi="宋体" w:eastAsia="宋体" w:cs="宋体"/>
                <w:b w:val="0"/>
                <w:sz w:val="21"/>
                <w:szCs w:val="21"/>
              </w:rPr>
              <w:t>O：</w:t>
            </w:r>
            <w:r>
              <w:rPr>
                <w:rFonts w:hint="eastAsia" w:ascii="宋体" w:hAnsi="宋体" w:cs="宋体"/>
                <w:b w:val="0"/>
                <w:sz w:val="21"/>
                <w:szCs w:val="21"/>
                <w:lang w:eastAsia="zh-CN"/>
              </w:rPr>
              <w:t>标识牌、围栏、防鸟设备、验电器、接地操作杆、携带型短路接地线的生产和销售；五金材料、安全带、安全帽、绝缘靴、绝缘手套的销售所涉及场所的相关职业健康安全管理活动</w:t>
            </w:r>
            <w:r>
              <w:rPr>
                <w:rFonts w:hint="eastAsia" w:ascii="宋体" w:hAnsi="宋体" w:eastAsia="宋体" w:cs="宋体"/>
                <w:b w:val="0"/>
                <w:sz w:val="21"/>
                <w:szCs w:val="21"/>
              </w:rPr>
              <w:t>。</w:t>
            </w:r>
          </w:p>
          <w:p>
            <w:pPr>
              <w:keepNext w:val="0"/>
              <w:keepLines w:val="0"/>
              <w:pageBreakBefore w:val="0"/>
              <w:kinsoku/>
              <w:wordWrap/>
              <w:overflowPunct/>
              <w:topLinePunct w:val="0"/>
              <w:bidi w:val="0"/>
              <w:spacing w:after="0" w:line="240" w:lineRule="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提供有效的营业执照，安全防范工程设计、安装、维修备案证，认证范围在营业执照范围内。</w:t>
            </w:r>
          </w:p>
          <w:p>
            <w:pPr>
              <w:pStyle w:val="10"/>
              <w:ind w:firstLine="460" w:firstLineChars="200"/>
              <w:rPr>
                <w:rFonts w:hint="default" w:ascii="宋体" w:hAnsi="宋体" w:eastAsia="宋体" w:cs="宋体"/>
                <w:b w:val="0"/>
                <w:sz w:val="21"/>
                <w:szCs w:val="21"/>
                <w:lang w:val="en-US" w:eastAsia="zh-CN"/>
              </w:rPr>
            </w:pPr>
            <w:r>
              <w:rPr>
                <w:rFonts w:hint="eastAsia"/>
              </w:rPr>
              <w:t>公司严格执行国标及行业要求和法律、法规要求</w:t>
            </w:r>
            <w:r>
              <w:rPr>
                <w:rFonts w:hint="eastAsia"/>
                <w:lang w:eastAsia="zh-CN"/>
              </w:rPr>
              <w:t>，</w:t>
            </w:r>
            <w:r>
              <w:rPr>
                <w:rFonts w:hint="eastAsia" w:ascii="宋体" w:hAnsi="宋体" w:cs="宋体"/>
                <w:b w:val="0"/>
                <w:sz w:val="21"/>
                <w:szCs w:val="21"/>
                <w:lang w:val="en-US" w:eastAsia="zh-CN"/>
              </w:rPr>
              <w:t>体系建立以来</w:t>
            </w:r>
            <w:r>
              <w:rPr>
                <w:rFonts w:hint="eastAsia" w:ascii="宋体" w:hAnsi="宋体" w:eastAsia="宋体" w:cs="宋体"/>
                <w:b w:val="0"/>
                <w:sz w:val="21"/>
                <w:szCs w:val="21"/>
              </w:rPr>
              <w:t>，公司没有顾客的重大产品质量投诉，通过顾客满意度调查，顾客对公司提供的产品普遍反映较好。</w:t>
            </w:r>
            <w:r>
              <w:rPr>
                <w:rFonts w:hint="eastAsia" w:ascii="宋体" w:hAnsi="宋体" w:eastAsia="宋体" w:cs="宋体"/>
                <w:b w:val="0"/>
                <w:sz w:val="21"/>
                <w:szCs w:val="21"/>
                <w:lang w:val="en-US" w:eastAsia="zh-CN"/>
              </w:rPr>
              <w:t>没有环境安全事故发生，无</w:t>
            </w:r>
            <w:r>
              <w:rPr>
                <w:rFonts w:hint="eastAsia"/>
                <w:lang w:val="en-US" w:eastAsia="zh-CN"/>
              </w:rPr>
              <w:t>政府主管部门监督抽查情况。</w:t>
            </w:r>
          </w:p>
          <w:p>
            <w:pPr>
              <w:keepNext w:val="0"/>
              <w:keepLines w:val="0"/>
              <w:pageBreakBefore w:val="0"/>
              <w:widowControl w:val="0"/>
              <w:kinsoku/>
              <w:wordWrap/>
              <w:overflowPunct/>
              <w:topLinePunct w:val="0"/>
              <w:autoSpaceDE/>
              <w:autoSpaceDN/>
              <w:bidi w:val="0"/>
              <w:adjustRightInd/>
              <w:spacing w:after="0" w:line="240" w:lineRule="auto"/>
              <w:ind w:firstLine="420" w:firstLineChars="200"/>
              <w:textAlignment w:val="auto"/>
              <w:rPr>
                <w:rFonts w:hint="eastAsia" w:ascii="Times New Roman" w:hAnsi="Times New Roman" w:eastAsia="宋体" w:cs="Times New Roman"/>
                <w:kern w:val="2"/>
                <w:sz w:val="21"/>
                <w:lang w:val="en-US" w:eastAsia="zh-CN" w:bidi="ar-SA"/>
              </w:rPr>
            </w:pPr>
            <w:r>
              <w:rPr>
                <w:rFonts w:hint="eastAsia" w:ascii="宋体" w:hAnsi="宋体" w:cs="宋体"/>
                <w:b w:val="0"/>
                <w:sz w:val="21"/>
                <w:szCs w:val="21"/>
                <w:lang w:val="en-US" w:eastAsia="zh-CN"/>
              </w:rPr>
              <w:t>一阶段</w:t>
            </w:r>
            <w:r>
              <w:rPr>
                <w:rFonts w:hint="eastAsia" w:ascii="宋体" w:hAnsi="宋体" w:eastAsia="宋体" w:cs="宋体"/>
                <w:b w:val="0"/>
                <w:sz w:val="21"/>
                <w:szCs w:val="21"/>
                <w:lang w:val="en-US" w:eastAsia="zh-CN"/>
              </w:rPr>
              <w:t>审核</w:t>
            </w:r>
            <w:r>
              <w:rPr>
                <w:rFonts w:hint="eastAsia" w:ascii="宋体" w:hAnsi="宋体" w:cs="宋体"/>
                <w:b w:val="0"/>
                <w:sz w:val="21"/>
                <w:szCs w:val="21"/>
                <w:lang w:val="en-US" w:eastAsia="zh-CN"/>
              </w:rPr>
              <w:t>无问题需整改</w:t>
            </w:r>
            <w:r>
              <w:rPr>
                <w:rFonts w:hint="eastAsia" w:ascii="宋体" w:hAnsi="宋体" w:eastAsia="宋体" w:cs="宋体"/>
                <w:b w:val="0"/>
                <w:sz w:val="21"/>
                <w:szCs w:val="21"/>
                <w:lang w:val="en-US" w:eastAsia="zh-CN"/>
              </w:rPr>
              <w:t>。</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6"/>
        <w:rPr>
          <w:rFonts w:hint="eastAsia"/>
        </w:rPr>
      </w:pPr>
      <w:r>
        <w:rPr>
          <w:rFonts w:hint="eastAsia"/>
        </w:rPr>
        <w:t>说明：不符合标注N</w:t>
      </w:r>
      <w:bookmarkStart w:id="3" w:name="_GoBack"/>
      <w:bookmarkEnd w:id="3"/>
    </w:p>
    <w:p>
      <w:pPr>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740F2C"/>
    <w:rsid w:val="1AF83E95"/>
    <w:rsid w:val="25A12131"/>
    <w:rsid w:val="271A4880"/>
    <w:rsid w:val="2E5D0737"/>
    <w:rsid w:val="59824D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qFormat/>
    <w:uiPriority w:val="0"/>
    <w:rPr>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2022-02-26T08:03:38Z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