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sym w:font="Wingdings 2" w:char="00A3"/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3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晋州市谊诚纤维素有限公司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李丽英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2.3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企业会议室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1270</wp:posOffset>
                  </wp:positionV>
                  <wp:extent cx="1151890" cy="469900"/>
                  <wp:effectExtent l="0" t="0" r="381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bookmarkStart w:id="1" w:name="GYLCT"/>
            <w:r>
              <w:rPr>
                <w:rFonts w:ascii="Times New Roman" w:hAnsi="Times New Roman" w:eastAsia="仿宋_GB2312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4926330" cy="2059305"/>
                  <wp:effectExtent l="0" t="0" r="1270" b="1079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33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主要能源使用：电力、天然气；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能源绩效参数：综合能耗tce、单位产品综合能耗kgce/t，单位产品电耗kW.h/t、单位产品天然气消耗m</w:t>
            </w:r>
            <w:r>
              <w:rPr>
                <w:rFonts w:hint="eastAsia"/>
                <w:b/>
                <w:sz w:val="2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  <w:lang w:val="en-US" w:eastAsia="zh-CN"/>
              </w:rPr>
              <w:t>/t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中华人民共和国节约能源法、中华人民共和国计量法、国家重点节能技术推广目录、节能机电设备（产品）推荐目录、高耗能落后机电设备（产品）淘汰目录、GB-T 13234-2018 用能单位节能量计算方法、GB/T 2589—2020综合能耗计算通则、RB/T 114-2014 能源管理体系 纯碱、焦化、橡塑制品、制药等化工企业认证要求、河北省节约能源条例等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按照GB/T23331-2020标准6.3的要求和RB/T 114-2014 能源管理体系 纯碱、焦化、橡塑制品、制药等化工企业认证要求，开展能源评审，编制能源评审报告。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有关能源管理体系的审核知识，如能耗计算、能源计量器具的配备、淘汰落后设备的要求等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-474345</wp:posOffset>
                  </wp:positionV>
                  <wp:extent cx="1470025" cy="514985"/>
                  <wp:effectExtent l="0" t="0" r="0" b="0"/>
                  <wp:wrapSquare wrapText="bothSides"/>
                  <wp:docPr id="4" name="图片 4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95250</wp:posOffset>
                  </wp:positionV>
                  <wp:extent cx="1305560" cy="382905"/>
                  <wp:effectExtent l="0" t="0" r="0" b="0"/>
                  <wp:wrapSquare wrapText="bothSides"/>
                  <wp:docPr id="5" name="图片 5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60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2022.2.17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58F6DFF"/>
    <w:rsid w:val="44800F21"/>
    <w:rsid w:val="4A1B35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2022-03-01T13:05:01Z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2052-11.1.0.10314</vt:lpwstr>
  </property>
</Properties>
</file>