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吉向东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陪同人员：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肖虎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</w:t>
            </w:r>
            <w:r>
              <w:rPr>
                <w:rFonts w:hint="eastAsia"/>
                <w:szCs w:val="21"/>
              </w:rPr>
              <w:t>主要作用、职责和权限包括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a) 维护公司设备正常运行；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b) 做好本部分</w:t>
            </w:r>
            <w:r>
              <w:rPr>
                <w:rFonts w:hint="eastAsia"/>
                <w:szCs w:val="21"/>
              </w:rPr>
              <w:t>人员培训和管理工作，检查、考核部门环境、职业健康安全管理体系运行的效果。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负责人明确部门的职责和权限。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6.2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/>
                <w:szCs w:val="21"/>
              </w:rPr>
              <w:t>目标：          考核情况（20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2022年3</w:t>
            </w:r>
            <w:r>
              <w:rPr>
                <w:rFonts w:hint="eastAsia" w:ascii="宋体" w:hAnsi="宋体"/>
                <w:szCs w:val="21"/>
              </w:rPr>
              <w:t>月）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设备保养达成率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100%             100% </w:t>
            </w:r>
            <w:r>
              <w:rPr>
                <w:rFonts w:hint="eastAsia" w:ascii="宋体" w:hAnsi="宋体" w:cs="宋体"/>
                <w:szCs w:val="21"/>
              </w:rPr>
              <w:t xml:space="preserve">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考核情况（20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月-20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月）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szCs w:val="21"/>
              </w:rPr>
              <w:t>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7.1.3</w:t>
            </w:r>
          </w:p>
        </w:tc>
        <w:tc>
          <w:tcPr>
            <w:tcW w:w="100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公司提供相应的设施，以确保满足产品要求。审核基础设施主要包括：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1)建筑物、工作场所：建筑面积1300平方米；生产车间2个；库房1个；实验室1个；。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2)办公设备：办公桌椅、电脑、打印机等。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3)支持性服务：公司配置了小型轿车。</w:t>
            </w:r>
          </w:p>
          <w:p>
            <w:pPr>
              <w:spacing w:line="360" w:lineRule="auto"/>
              <w:ind w:firstLine="420"/>
            </w:pPr>
            <w:r>
              <w:rPr>
                <w:rFonts w:hint="eastAsia"/>
              </w:rPr>
              <w:t>4）生产设备：</w:t>
            </w:r>
            <w:r>
              <w:rPr>
                <w:rFonts w:hint="eastAsia"/>
                <w:lang w:val="en-US" w:eastAsia="zh-CN"/>
              </w:rPr>
              <w:t>镭射切割雕刻机、丝网印刷机、除湿机、压膜机、贴合机、螺杆式空压机、精密型水平运风烤箱、薄膜激光刻蚀机、银浆激光刻蚀机、紫外激光刻印机、横切机、分切机、覆膜机、全自动冲孔机、热收缩包装机等</w:t>
            </w:r>
            <w:r>
              <w:rPr>
                <w:rFonts w:hint="eastAsia"/>
              </w:rPr>
              <w:t>等生产设备设施。</w:t>
            </w:r>
          </w:p>
          <w:p>
            <w:pPr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5）编制有生产设备安全操作规程等作业制度</w:t>
            </w:r>
            <w:r>
              <w:rPr>
                <w:rFonts w:hint="eastAsia"/>
                <w:lang w:val="en-US" w:eastAsia="zh-CN"/>
              </w:rPr>
              <w:t>,执行：镭射切割雕刻机操作保养作业指导书、丝印机操作保养作业指导书、除湿机操作保养作业指导书、压膜机操作保养作业指导书、贴合机操作保养作业指导书、空压机操作保养作业指导书等设备操作保养作业指导书21份。</w:t>
            </w:r>
          </w:p>
          <w:p>
            <w:pPr>
              <w:spacing w:line="360" w:lineRule="auto"/>
              <w:ind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  <w:lang w:eastAsia="zh-CN"/>
              </w:rPr>
              <w:t>《2021年度二维暖烯设备维护保养计划》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2315210</wp:posOffset>
                  </wp:positionH>
                  <wp:positionV relativeFrom="paragraph">
                    <wp:posOffset>114935</wp:posOffset>
                  </wp:positionV>
                  <wp:extent cx="2042795" cy="2947670"/>
                  <wp:effectExtent l="0" t="0" r="1905" b="11430"/>
                  <wp:wrapNone/>
                  <wp:docPr id="22" name="图片 22" descr="保养计划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保养计划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294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82550</wp:posOffset>
                  </wp:positionV>
                  <wp:extent cx="2068195" cy="3060700"/>
                  <wp:effectExtent l="0" t="0" r="1905" b="0"/>
                  <wp:wrapNone/>
                  <wp:docPr id="21" name="图片 21" descr="保养计划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保养计划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306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抽查：202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自动冲孔机-2 维护保养记录、2021年1月镭射切割雕刻机维护保养记录。</w:t>
            </w:r>
          </w:p>
          <w:p>
            <w:pPr>
              <w:pStyle w:val="2"/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2861945</wp:posOffset>
                  </wp:positionH>
                  <wp:positionV relativeFrom="paragraph">
                    <wp:posOffset>105410</wp:posOffset>
                  </wp:positionV>
                  <wp:extent cx="2244090" cy="3296920"/>
                  <wp:effectExtent l="0" t="0" r="3810" b="5080"/>
                  <wp:wrapNone/>
                  <wp:docPr id="24" name="图片 24" descr="保养记录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保养记录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0" cy="329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120650</wp:posOffset>
                  </wp:positionV>
                  <wp:extent cx="2301875" cy="3309620"/>
                  <wp:effectExtent l="0" t="0" r="9525" b="5080"/>
                  <wp:wrapNone/>
                  <wp:docPr id="23" name="图片 23" descr="保养记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保养记录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75" cy="330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）公司对新添置的设备，由部门申请，报总经理批准后，由采购部购买并保管相关相应的技术说明书。报废设备设施，经部门负责人、总经理签字确认后报废。经介绍目前暂没有添置新的设备，没有报废设备设施情况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8）特种设备：无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9）经远程视频查验基础设施均处于有效状态，运转良好，可以满足企业体系覆盖范围的产品生产需要。</w:t>
            </w:r>
          </w:p>
        </w:tc>
        <w:tc>
          <w:tcPr>
            <w:tcW w:w="1585" w:type="dxa"/>
          </w:tcPr>
          <w:p/>
        </w:tc>
      </w:tr>
    </w:tbl>
    <w:p>
      <w:pPr>
        <w:pStyle w:val="8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bookmarkStart w:id="0" w:name="_GoBack"/>
    <w:bookmarkEnd w:id="0"/>
    <w:r>
      <w:pict>
        <v:shape id="文本框 1" o:spid="_x0000_s1026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/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D365EF"/>
    <w:rsid w:val="01F34B2A"/>
    <w:rsid w:val="0212048F"/>
    <w:rsid w:val="0265452A"/>
    <w:rsid w:val="02A807E2"/>
    <w:rsid w:val="030B7C36"/>
    <w:rsid w:val="035F2BD3"/>
    <w:rsid w:val="03C42820"/>
    <w:rsid w:val="03FD4FF6"/>
    <w:rsid w:val="048D3FEA"/>
    <w:rsid w:val="04BB696A"/>
    <w:rsid w:val="04C90F2B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DC7355"/>
    <w:rsid w:val="0D491409"/>
    <w:rsid w:val="0D497365"/>
    <w:rsid w:val="0D692839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76BE9"/>
    <w:rsid w:val="105240D8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2F40DF6"/>
    <w:rsid w:val="132216DA"/>
    <w:rsid w:val="137D0CAE"/>
    <w:rsid w:val="13D53507"/>
    <w:rsid w:val="141C3600"/>
    <w:rsid w:val="142F0875"/>
    <w:rsid w:val="14EE56DB"/>
    <w:rsid w:val="15135E98"/>
    <w:rsid w:val="16772BD8"/>
    <w:rsid w:val="16867BEB"/>
    <w:rsid w:val="16BA6C31"/>
    <w:rsid w:val="17FD3326"/>
    <w:rsid w:val="185D6041"/>
    <w:rsid w:val="18B94195"/>
    <w:rsid w:val="18FE04AE"/>
    <w:rsid w:val="19272344"/>
    <w:rsid w:val="19B46AE7"/>
    <w:rsid w:val="19ED09D0"/>
    <w:rsid w:val="1A9904CA"/>
    <w:rsid w:val="1AFD5E38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9D478B"/>
    <w:rsid w:val="239F2ED9"/>
    <w:rsid w:val="23A178AF"/>
    <w:rsid w:val="23CF39AD"/>
    <w:rsid w:val="24244568"/>
    <w:rsid w:val="24ED5D39"/>
    <w:rsid w:val="256D717A"/>
    <w:rsid w:val="25DC1148"/>
    <w:rsid w:val="262171BD"/>
    <w:rsid w:val="266B0827"/>
    <w:rsid w:val="26F02A12"/>
    <w:rsid w:val="26FF3AD0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4A570C"/>
    <w:rsid w:val="305C1DB5"/>
    <w:rsid w:val="30F40186"/>
    <w:rsid w:val="31633F3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8441F92"/>
    <w:rsid w:val="38B95E34"/>
    <w:rsid w:val="39285AAA"/>
    <w:rsid w:val="39E6519B"/>
    <w:rsid w:val="3A7B6B87"/>
    <w:rsid w:val="3AF80729"/>
    <w:rsid w:val="3B12715F"/>
    <w:rsid w:val="3B5F4DA0"/>
    <w:rsid w:val="3BC20472"/>
    <w:rsid w:val="3BD271D9"/>
    <w:rsid w:val="3BDD69B3"/>
    <w:rsid w:val="3CF93155"/>
    <w:rsid w:val="3D5F10F9"/>
    <w:rsid w:val="3D901C4B"/>
    <w:rsid w:val="3DB9109A"/>
    <w:rsid w:val="3DD6700D"/>
    <w:rsid w:val="3E927D55"/>
    <w:rsid w:val="3F6159C1"/>
    <w:rsid w:val="3F67141F"/>
    <w:rsid w:val="3F8977C8"/>
    <w:rsid w:val="3F941A8C"/>
    <w:rsid w:val="3FD67B85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4B206F"/>
    <w:rsid w:val="478F2E3A"/>
    <w:rsid w:val="489050D9"/>
    <w:rsid w:val="48B87816"/>
    <w:rsid w:val="49023463"/>
    <w:rsid w:val="49682BE3"/>
    <w:rsid w:val="4A0D2C5F"/>
    <w:rsid w:val="4A7F020F"/>
    <w:rsid w:val="4AA772B4"/>
    <w:rsid w:val="4C531B79"/>
    <w:rsid w:val="4D1C333A"/>
    <w:rsid w:val="4D6F6AE3"/>
    <w:rsid w:val="4EF010EA"/>
    <w:rsid w:val="4EFC26DC"/>
    <w:rsid w:val="4F5C1F11"/>
    <w:rsid w:val="4F726449"/>
    <w:rsid w:val="4F751D41"/>
    <w:rsid w:val="5000230A"/>
    <w:rsid w:val="500055C5"/>
    <w:rsid w:val="50414F82"/>
    <w:rsid w:val="50B16817"/>
    <w:rsid w:val="5176133C"/>
    <w:rsid w:val="51D134CF"/>
    <w:rsid w:val="51DA5D40"/>
    <w:rsid w:val="523C78CD"/>
    <w:rsid w:val="52EE38A2"/>
    <w:rsid w:val="53395E55"/>
    <w:rsid w:val="53693CAB"/>
    <w:rsid w:val="549C5D38"/>
    <w:rsid w:val="54D76EC2"/>
    <w:rsid w:val="54EA72BB"/>
    <w:rsid w:val="55DA0FDB"/>
    <w:rsid w:val="55E039EC"/>
    <w:rsid w:val="55F91CC3"/>
    <w:rsid w:val="56047B5D"/>
    <w:rsid w:val="561513C9"/>
    <w:rsid w:val="567C45F7"/>
    <w:rsid w:val="56E800CA"/>
    <w:rsid w:val="57627A71"/>
    <w:rsid w:val="578541BD"/>
    <w:rsid w:val="57DB3900"/>
    <w:rsid w:val="58492CD1"/>
    <w:rsid w:val="58960553"/>
    <w:rsid w:val="58C94867"/>
    <w:rsid w:val="58D02612"/>
    <w:rsid w:val="59457317"/>
    <w:rsid w:val="59CF3E37"/>
    <w:rsid w:val="5A9D21AB"/>
    <w:rsid w:val="5AB613F2"/>
    <w:rsid w:val="5ABB0A1E"/>
    <w:rsid w:val="5B612207"/>
    <w:rsid w:val="5B8E7AE8"/>
    <w:rsid w:val="5C2772B0"/>
    <w:rsid w:val="5C480A26"/>
    <w:rsid w:val="5E3C45AA"/>
    <w:rsid w:val="5E4C2901"/>
    <w:rsid w:val="5E5B33B2"/>
    <w:rsid w:val="5EA12B9A"/>
    <w:rsid w:val="5EEC3F13"/>
    <w:rsid w:val="5F2E0F5F"/>
    <w:rsid w:val="5F681F1D"/>
    <w:rsid w:val="5F9D00F8"/>
    <w:rsid w:val="5F9D03C5"/>
    <w:rsid w:val="5FA62167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7A320C"/>
    <w:rsid w:val="6CCB6BCF"/>
    <w:rsid w:val="6D1211C3"/>
    <w:rsid w:val="6D7B6FD2"/>
    <w:rsid w:val="6D9318BE"/>
    <w:rsid w:val="6DD944A3"/>
    <w:rsid w:val="6E9C69DC"/>
    <w:rsid w:val="6FF845CA"/>
    <w:rsid w:val="70956DF5"/>
    <w:rsid w:val="70B7124E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768158A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Plain Text"/>
    <w:basedOn w:val="1"/>
    <w:link w:val="22"/>
    <w:qFormat/>
    <w:uiPriority w:val="99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纯文本 Char"/>
    <w:basedOn w:val="13"/>
    <w:link w:val="6"/>
    <w:qFormat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2889</Words>
  <Characters>16473</Characters>
  <Lines>137</Lines>
  <Paragraphs>38</Paragraphs>
  <TotalTime>0</TotalTime>
  <ScaleCrop>false</ScaleCrop>
  <LinksUpToDate>false</LinksUpToDate>
  <CharactersWithSpaces>19324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2022-04-12T02:53:46Z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2BC1798F7C5C4705AE2923A0F07255EE</vt:lpwstr>
  </property>
</Properties>
</file>