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cs="宋体"/>
                <w:sz w:val="21"/>
                <w:szCs w:val="21"/>
                <w:lang w:eastAsia="zh-CN"/>
              </w:rPr>
              <w:t>制造部</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sz w:val="21"/>
                <w:szCs w:val="21"/>
                <w:lang w:eastAsia="zh-CN"/>
              </w:rPr>
              <w:t>张志华</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cs="宋体"/>
                <w:sz w:val="21"/>
                <w:szCs w:val="21"/>
                <w:lang w:eastAsia="zh-CN"/>
              </w:rPr>
              <w:t>肖虎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 李俐</w:t>
            </w:r>
            <w:r>
              <w:rPr>
                <w:rFonts w:hint="eastAsia" w:ascii="宋体" w:hAnsi="宋体" w:eastAsia="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张亮</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rPr>
            </w:pPr>
            <w:r>
              <w:rPr>
                <w:rFonts w:hint="eastAsia"/>
              </w:rPr>
              <w:t>审核条款：</w:t>
            </w:r>
          </w:p>
          <w:p>
            <w:pPr>
              <w:pStyle w:val="3"/>
              <w:spacing w:line="360" w:lineRule="auto"/>
              <w:rPr>
                <w:rFonts w:hint="eastAsia"/>
              </w:rPr>
            </w:pPr>
            <w:r>
              <w:rPr>
                <w:rFonts w:hint="eastAsia" w:ascii="宋体" w:hAnsi="宋体" w:eastAsia="宋体" w:cs="宋体"/>
                <w:b w:val="0"/>
                <w:bCs w:val="0"/>
                <w:kern w:val="2"/>
                <w:sz w:val="21"/>
                <w:szCs w:val="21"/>
                <w:lang w:val="en-US" w:eastAsia="zh-CN" w:bidi="ar-SA"/>
              </w:rPr>
              <w:t>QMS:5.3组织的岗位、职责和权限、6.2质量目标、7.1.4过程运行环境、8.5.1生产和服务提供的控制、8.5.2产品标识和可追朔性、8.5.4产品防护、8.5.6生产和服务提供的更改控制，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eastAsia" w:ascii="宋体" w:hAnsi="宋体" w:cs="新宋体"/>
                <w:szCs w:val="21"/>
              </w:rPr>
            </w:pPr>
          </w:p>
          <w:p>
            <w:pPr>
              <w:rPr>
                <w:rFonts w:hint="eastAsia" w:ascii="宋体" w:hAnsi="宋体" w:cs="新宋体"/>
                <w:szCs w:val="21"/>
              </w:rPr>
            </w:pPr>
          </w:p>
          <w:p>
            <w:pPr>
              <w:ind w:firstLine="210" w:firstLineChars="100"/>
              <w:rPr>
                <w:szCs w:val="21"/>
              </w:rPr>
            </w:pP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360" w:lineRule="auto"/>
              <w:jc w:val="left"/>
              <w:rPr>
                <w:rFonts w:ascii="宋体" w:cs="宋体"/>
                <w:szCs w:val="21"/>
              </w:rPr>
            </w:pPr>
            <w:r>
              <w:rPr>
                <w:rFonts w:hint="eastAsia" w:ascii="宋体" w:cs="宋体"/>
                <w:szCs w:val="21"/>
              </w:rPr>
              <w:t>查，</w:t>
            </w:r>
            <w:r>
              <w:rPr>
                <w:rFonts w:hint="eastAsia" w:ascii="宋体" w:cs="宋体"/>
                <w:szCs w:val="21"/>
                <w:lang w:eastAsia="zh-CN"/>
              </w:rPr>
              <w:t>制造部</w:t>
            </w:r>
            <w:r>
              <w:rPr>
                <w:rFonts w:hint="eastAsia" w:ascii="宋体" w:cs="宋体"/>
                <w:szCs w:val="21"/>
              </w:rPr>
              <w:t>的岗位职责和权限如下：</w:t>
            </w:r>
          </w:p>
          <w:p>
            <w:pPr>
              <w:widowControl/>
              <w:spacing w:line="360" w:lineRule="auto"/>
              <w:jc w:val="left"/>
              <w:rPr>
                <w:rFonts w:hint="eastAsia" w:ascii="宋体"/>
                <w:szCs w:val="21"/>
                <w:lang w:eastAsia="zh-CN"/>
              </w:rPr>
            </w:pPr>
            <w:r>
              <w:rPr>
                <w:rFonts w:hint="eastAsia" w:ascii="宋体"/>
                <w:szCs w:val="21"/>
                <w:lang w:eastAsia="zh-CN"/>
              </w:rPr>
              <w:t>a）负责贯彻执行国家有关法令、法规和公司的管理制度，按有关要求对设计开发全过程的质量实施检查、监视和测量，行使质量否决权；负责根据国家、行业有关安全规定制定职业健康安全方面的管理制度并监督实施。</w:t>
            </w:r>
          </w:p>
          <w:p>
            <w:pPr>
              <w:widowControl/>
              <w:spacing w:line="360" w:lineRule="auto"/>
              <w:jc w:val="left"/>
              <w:rPr>
                <w:rFonts w:hint="eastAsia" w:ascii="宋体"/>
                <w:szCs w:val="21"/>
                <w:lang w:eastAsia="zh-CN"/>
              </w:rPr>
            </w:pPr>
            <w:r>
              <w:rPr>
                <w:rFonts w:hint="eastAsia" w:ascii="宋体"/>
                <w:szCs w:val="21"/>
                <w:lang w:eastAsia="zh-CN"/>
              </w:rPr>
              <w:t>b）负责设计开发过程中不合格产品的确定和消除设计开发过程中产生不合格产品的原因，制订或组织实施纠正和预防措施，并对不合格产品所采取的纠正措施的有效性进行验证。</w:t>
            </w:r>
          </w:p>
          <w:p>
            <w:pPr>
              <w:widowControl/>
              <w:spacing w:line="360" w:lineRule="auto"/>
              <w:jc w:val="left"/>
              <w:rPr>
                <w:rFonts w:hint="eastAsia" w:ascii="宋体"/>
                <w:szCs w:val="21"/>
                <w:lang w:eastAsia="zh-CN"/>
              </w:rPr>
            </w:pPr>
            <w:r>
              <w:rPr>
                <w:rFonts w:hint="eastAsia" w:ascii="宋体"/>
                <w:szCs w:val="21"/>
                <w:lang w:eastAsia="zh-CN"/>
              </w:rPr>
              <w:t>c）负责组织汇部门环境因素识别，审查环境管理方案、应急响应预案。</w:t>
            </w:r>
          </w:p>
          <w:p>
            <w:pPr>
              <w:widowControl/>
              <w:spacing w:line="360" w:lineRule="auto"/>
              <w:jc w:val="left"/>
              <w:rPr>
                <w:rFonts w:hint="eastAsia" w:ascii="宋体"/>
                <w:szCs w:val="21"/>
                <w:lang w:eastAsia="zh-CN"/>
              </w:rPr>
            </w:pPr>
            <w:r>
              <w:rPr>
                <w:rFonts w:hint="eastAsia" w:ascii="宋体"/>
                <w:szCs w:val="21"/>
                <w:lang w:eastAsia="zh-CN"/>
              </w:rPr>
              <w:t>d）负责环境、职业健康安全管理体系标准的宣传、贯彻的指导工作。</w:t>
            </w:r>
          </w:p>
          <w:p>
            <w:pPr>
              <w:widowControl/>
              <w:spacing w:line="360" w:lineRule="auto"/>
              <w:jc w:val="left"/>
              <w:rPr>
                <w:rFonts w:hint="eastAsia" w:ascii="宋体"/>
                <w:szCs w:val="21"/>
                <w:lang w:eastAsia="zh-CN"/>
              </w:rPr>
            </w:pPr>
            <w:r>
              <w:rPr>
                <w:rFonts w:hint="eastAsia" w:ascii="宋体"/>
                <w:szCs w:val="21"/>
                <w:lang w:eastAsia="zh-CN"/>
              </w:rPr>
              <w:t>e）参与公司的管理评审的组织协调工作，编制管理评审计划及对管理评审提出的纠正、预防和改进措施实施情况的跟踪验证。</w:t>
            </w:r>
          </w:p>
          <w:p>
            <w:pPr>
              <w:widowControl/>
              <w:spacing w:line="360" w:lineRule="auto"/>
              <w:jc w:val="left"/>
              <w:rPr>
                <w:rFonts w:hint="eastAsia" w:ascii="宋体"/>
                <w:szCs w:val="21"/>
                <w:lang w:eastAsia="zh-CN"/>
              </w:rPr>
            </w:pPr>
            <w:r>
              <w:rPr>
                <w:rFonts w:hint="eastAsia" w:ascii="宋体"/>
                <w:szCs w:val="21"/>
                <w:lang w:eastAsia="zh-CN"/>
              </w:rPr>
              <w:t>f）指导下属部门环境、职业健康安全管理体系的建立、完善和运行。</w:t>
            </w:r>
          </w:p>
          <w:p>
            <w:pPr>
              <w:widowControl/>
              <w:spacing w:line="360" w:lineRule="auto"/>
              <w:jc w:val="left"/>
              <w:rPr>
                <w:rFonts w:hint="eastAsia" w:ascii="宋体"/>
                <w:szCs w:val="21"/>
                <w:lang w:eastAsia="zh-CN"/>
              </w:rPr>
            </w:pPr>
            <w:r>
              <w:rPr>
                <w:rFonts w:hint="eastAsia" w:ascii="宋体"/>
                <w:szCs w:val="21"/>
                <w:lang w:eastAsia="zh-CN"/>
              </w:rPr>
              <w:t>g）检查、考核下属部门环境、职业健康安全管理体系运行的效果。</w:t>
            </w:r>
          </w:p>
          <w:p>
            <w:pPr>
              <w:widowControl/>
              <w:spacing w:line="360" w:lineRule="auto"/>
              <w:jc w:val="left"/>
              <w:rPr>
                <w:rFonts w:ascii="宋体" w:hAnsi="宋体"/>
                <w:szCs w:val="21"/>
              </w:rPr>
            </w:pPr>
            <w:r>
              <w:rPr>
                <w:rFonts w:hint="eastAsia" w:ascii="宋体"/>
                <w:szCs w:val="21"/>
                <w:lang w:eastAsia="zh-CN"/>
              </w:rPr>
              <w:t>制造部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hint="eastAsia" w:ascii="宋体" w:hAnsi="宋体" w:cs="新宋体"/>
                <w:szCs w:val="21"/>
              </w:rPr>
            </w:pPr>
          </w:p>
          <w:p>
            <w:pPr>
              <w:rPr>
                <w:rFonts w:hint="eastAsia" w:ascii="宋体" w:hAnsi="宋体" w:cs="新宋体"/>
                <w:szCs w:val="21"/>
              </w:rPr>
            </w:pPr>
          </w:p>
          <w:p>
            <w:pPr>
              <w:ind w:firstLine="210" w:firstLineChars="100"/>
              <w:rPr>
                <w:rFonts w:hint="eastAsia" w:ascii="宋体" w:hAnsi="宋体" w:cs="新宋体"/>
                <w:szCs w:val="21"/>
              </w:rPr>
            </w:pPr>
          </w:p>
          <w:p>
            <w:pPr>
              <w:ind w:firstLine="210" w:firstLineChars="100"/>
              <w:rPr>
                <w:rFonts w:hint="eastAsia" w:ascii="宋体" w:hAnsi="宋体" w:cs="新宋体"/>
                <w:szCs w:val="21"/>
              </w:rPr>
            </w:pPr>
          </w:p>
          <w:p>
            <w:pPr>
              <w:ind w:firstLine="210" w:firstLineChars="100"/>
              <w:rPr>
                <w:rFonts w:hint="eastAsia" w:ascii="宋体" w:hAnsi="宋体" w:cs="新宋体"/>
                <w:szCs w:val="21"/>
              </w:rPr>
            </w:pPr>
          </w:p>
          <w:p>
            <w:pPr>
              <w:ind w:firstLine="210" w:firstLineChars="100"/>
              <w:rPr>
                <w:rFonts w:hint="eastAsia" w:ascii="宋体" w:hAnsi="宋体" w:cs="新宋体"/>
                <w:szCs w:val="21"/>
              </w:rPr>
            </w:pPr>
          </w:p>
          <w:p>
            <w:pPr>
              <w:ind w:firstLine="210" w:firstLineChars="100"/>
              <w:rPr>
                <w:rFonts w:ascii="宋体" w:hAnsi="宋体" w:cs="新宋体"/>
                <w:szCs w:val="21"/>
              </w:rPr>
            </w:pPr>
            <w:r>
              <w:rPr>
                <w:rFonts w:hint="eastAsia" w:ascii="宋体" w:hAnsi="宋体" w:cs="新宋体"/>
                <w:szCs w:val="21"/>
              </w:rPr>
              <w:t>6.2</w:t>
            </w:r>
          </w:p>
        </w:tc>
        <w:tc>
          <w:tcPr>
            <w:tcW w:w="10004" w:type="dxa"/>
          </w:tcPr>
          <w:p>
            <w:pPr>
              <w:spacing w:line="360" w:lineRule="auto"/>
              <w:rPr>
                <w:rFonts w:hint="eastAsia"/>
                <w:lang w:eastAsia="zh-CN"/>
              </w:rPr>
            </w:pPr>
            <w:r>
              <w:rPr>
                <w:rFonts w:hint="eastAsia" w:ascii="宋体" w:hAnsi="宋体" w:eastAsia="宋体" w:cs="宋体"/>
                <w:szCs w:val="21"/>
              </w:rPr>
              <w:t>提供部门质量目标分解</w:t>
            </w:r>
            <w:r>
              <w:rPr>
                <w:rFonts w:hint="eastAsia" w:ascii="宋体" w:hAnsi="宋体" w:cs="宋体"/>
                <w:szCs w:val="21"/>
                <w:lang w:val="en-US" w:eastAsia="zh-CN"/>
              </w:rPr>
              <w:t>4</w:t>
            </w:r>
            <w:r>
              <w:rPr>
                <w:rFonts w:hint="eastAsia" w:ascii="宋体" w:hAnsi="宋体" w:eastAsia="宋体" w:cs="宋体"/>
                <w:szCs w:val="21"/>
              </w:rPr>
              <w:t>项，体系运行以来部门目标</w:t>
            </w:r>
            <w:r>
              <w:rPr>
                <w:rFonts w:hint="eastAsia" w:ascii="宋体" w:hAnsi="宋体" w:cs="宋体"/>
                <w:szCs w:val="21"/>
                <w:lang w:eastAsia="zh-CN"/>
              </w:rPr>
              <w:t>，</w:t>
            </w:r>
          </w:p>
          <w:tbl>
            <w:tblPr>
              <w:tblStyle w:val="10"/>
              <w:tblW w:w="586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5"/>
              <w:gridCol w:w="289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报废率≤2%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生产计划完成率100%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非计划停机时间≤ 120小时/年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周转天数30天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bl>
          <w:p>
            <w:pPr>
              <w:spacing w:line="360" w:lineRule="auto"/>
              <w:ind w:right="170"/>
              <w:jc w:val="left"/>
              <w:rPr>
                <w:rFonts w:hint="eastAsia" w:ascii="宋体" w:hAnsi="宋体" w:cs="Arial"/>
                <w:iCs/>
                <w:szCs w:val="21"/>
                <w:lang w:eastAsia="zh-CN"/>
              </w:rPr>
            </w:pPr>
          </w:p>
          <w:p>
            <w:pPr>
              <w:widowControl/>
              <w:spacing w:line="360" w:lineRule="auto"/>
              <w:jc w:val="left"/>
              <w:rPr>
                <w:rFonts w:ascii="宋体" w:hAnsi="宋体"/>
                <w:szCs w:val="21"/>
              </w:rPr>
            </w:pPr>
            <w:r>
              <w:rPr>
                <w:rFonts w:hint="eastAsia" w:ascii="宋体" w:hAnsi="宋体" w:eastAsia="宋体" w:cs="宋体"/>
                <w:szCs w:val="21"/>
                <w:lang w:val="en-US" w:eastAsia="zh-CN"/>
              </w:rPr>
              <w:t>经</w:t>
            </w: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25</w:t>
            </w:r>
            <w:r>
              <w:rPr>
                <w:rFonts w:hint="eastAsia" w:ascii="宋体" w:hAnsi="宋体" w:eastAsia="宋体" w:cs="宋体"/>
                <w:szCs w:val="21"/>
              </w:rPr>
              <w:t>日</w:t>
            </w:r>
            <w:r>
              <w:rPr>
                <w:rFonts w:hint="eastAsia" w:ascii="宋体" w:hAnsi="宋体" w:eastAsia="宋体" w:cs="宋体"/>
                <w:szCs w:val="21"/>
                <w:lang w:eastAsia="zh-CN"/>
              </w:rPr>
              <w:t>，</w:t>
            </w:r>
            <w:r>
              <w:rPr>
                <w:rFonts w:hint="eastAsia" w:ascii="宋体" w:hAnsi="宋体" w:eastAsia="宋体" w:cs="宋体"/>
                <w:szCs w:val="21"/>
              </w:rPr>
              <w:t>考核情况（20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4</w:t>
            </w:r>
            <w:r>
              <w:rPr>
                <w:rFonts w:hint="eastAsia" w:ascii="宋体" w:hAnsi="宋体" w:eastAsia="宋体" w:cs="宋体"/>
                <w:szCs w:val="21"/>
              </w:rPr>
              <w:t>月-20</w:t>
            </w:r>
            <w:r>
              <w:rPr>
                <w:rFonts w:hint="eastAsia" w:ascii="宋体" w:hAnsi="宋体" w:eastAsia="宋体" w:cs="宋体"/>
                <w:szCs w:val="21"/>
                <w:lang w:val="en-US" w:eastAsia="zh-CN"/>
              </w:rPr>
              <w:t>2</w:t>
            </w:r>
            <w:r>
              <w:rPr>
                <w:rFonts w:hint="eastAsia" w:ascii="宋体" w:hAnsi="宋体" w:cs="宋体"/>
                <w:szCs w:val="21"/>
                <w:lang w:val="en-US" w:eastAsia="zh-CN"/>
              </w:rPr>
              <w:t>2</w:t>
            </w:r>
            <w:r>
              <w:rPr>
                <w:rFonts w:hint="eastAsia" w:ascii="宋体" w:hAnsi="宋体" w:eastAsia="宋体" w:cs="宋体"/>
                <w:szCs w:val="21"/>
              </w:rPr>
              <w:t>年</w:t>
            </w:r>
            <w:r>
              <w:rPr>
                <w:rFonts w:hint="eastAsia" w:ascii="宋体" w:hAnsi="宋体" w:cs="宋体"/>
                <w:szCs w:val="21"/>
                <w:lang w:val="en-US" w:eastAsia="zh-CN"/>
              </w:rPr>
              <w:t>3</w:t>
            </w:r>
            <w:r>
              <w:rPr>
                <w:rFonts w:hint="eastAsia" w:ascii="宋体" w:hAnsi="宋体" w:eastAsia="宋体" w:cs="宋体"/>
                <w:szCs w:val="21"/>
              </w:rPr>
              <w:t>月）</w:t>
            </w:r>
            <w:r>
              <w:rPr>
                <w:rFonts w:hint="eastAsia" w:ascii="宋体" w:hAnsi="宋体" w:cs="宋体"/>
                <w:szCs w:val="21"/>
                <w:lang w:val="en-US" w:eastAsia="zh-CN"/>
              </w:rPr>
              <w:t>已</w:t>
            </w:r>
            <w:r>
              <w:rPr>
                <w:rFonts w:hint="eastAsia" w:ascii="宋体" w:hAnsi="宋体" w:eastAsia="宋体" w:cs="宋体"/>
                <w:szCs w:val="21"/>
              </w:rPr>
              <w:t>完成</w:t>
            </w:r>
            <w:r>
              <w:rPr>
                <w:rFonts w:hint="eastAsia" w:ascii="宋体" w:hAnsi="宋体" w:cs="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center"/>
          </w:tcPr>
          <w:p>
            <w:pPr>
              <w:spacing w:line="360" w:lineRule="auto"/>
              <w:rPr>
                <w:rFonts w:hint="eastAsia" w:ascii="宋体" w:hAnsi="宋体" w:cs="新宋体"/>
                <w:szCs w:val="21"/>
              </w:rPr>
            </w:pPr>
            <w:r>
              <w:rPr>
                <w:rFonts w:hint="eastAsia" w:ascii="宋体" w:hAnsi="宋体" w:cs="新宋体"/>
                <w:szCs w:val="21"/>
              </w:rPr>
              <w:t>过程运行环境</w:t>
            </w:r>
          </w:p>
        </w:tc>
        <w:tc>
          <w:tcPr>
            <w:tcW w:w="960" w:type="dxa"/>
            <w:vAlign w:val="center"/>
          </w:tcPr>
          <w:p>
            <w:pPr>
              <w:spacing w:line="360" w:lineRule="auto"/>
              <w:rPr>
                <w:rFonts w:hint="eastAsia" w:ascii="宋体" w:hAnsi="宋体" w:cs="新宋体"/>
                <w:szCs w:val="21"/>
              </w:rPr>
            </w:pPr>
            <w:r>
              <w:rPr>
                <w:rFonts w:hint="eastAsia" w:ascii="宋体" w:hAnsi="宋体" w:cs="新宋体"/>
                <w:szCs w:val="21"/>
              </w:rPr>
              <w:t>Q7.1.4</w:t>
            </w:r>
          </w:p>
        </w:tc>
        <w:tc>
          <w:tcPr>
            <w:tcW w:w="10004" w:type="dxa"/>
            <w:vAlign w:val="top"/>
          </w:tcPr>
          <w:p>
            <w:pPr>
              <w:spacing w:line="360" w:lineRule="auto"/>
              <w:rPr>
                <w:rFonts w:hint="eastAsia" w:ascii="宋体" w:hAnsi="宋体" w:cs="新宋体"/>
                <w:szCs w:val="21"/>
              </w:rPr>
            </w:pPr>
            <w:r>
              <w:rPr>
                <w:rFonts w:hint="eastAsia" w:ascii="宋体" w:hAnsi="宋体" w:cs="新宋体"/>
                <w:szCs w:val="21"/>
              </w:rPr>
              <w:t>部门负责人介绍了生产、储存库房现场管理、物资摆放、卫生管理等的要求。</w:t>
            </w:r>
          </w:p>
          <w:p>
            <w:pPr>
              <w:spacing w:line="360" w:lineRule="auto"/>
              <w:rPr>
                <w:rFonts w:hint="eastAsia" w:ascii="宋体" w:hAnsi="宋体" w:cs="新宋体"/>
                <w:szCs w:val="21"/>
              </w:rPr>
            </w:pPr>
            <w:r>
              <w:rPr>
                <w:rFonts w:hint="eastAsia" w:ascii="宋体" w:hAnsi="宋体" w:cs="新宋体"/>
                <w:szCs w:val="21"/>
                <w:lang w:val="en-US" w:eastAsia="zh-CN"/>
              </w:rPr>
              <w:t>远程</w:t>
            </w:r>
            <w:r>
              <w:rPr>
                <w:rFonts w:hint="eastAsia" w:ascii="宋体" w:hAnsi="宋体" w:cs="新宋体"/>
                <w:szCs w:val="21"/>
              </w:rPr>
              <w:t>巡视：部门生产和办公场所环境光照、温度适宜，通风良好，电路布线合理、电气插座完整，未见破损，办公场所物品摆放整齐、有序，未见随意乱放私人物品的情况，未见用电不当等安全隐患及不良影响现象。车间通风良好，光线充足，温度适宜，地面基本整洁，物品摆放基本整齐。仓库货物按类别分区存放，消防通道畅通。</w:t>
            </w:r>
          </w:p>
          <w:p>
            <w:pPr>
              <w:spacing w:line="360" w:lineRule="auto"/>
              <w:rPr>
                <w:rFonts w:hint="eastAsia" w:ascii="宋体" w:hAnsi="宋体" w:cs="新宋体"/>
                <w:szCs w:val="21"/>
              </w:rPr>
            </w:pPr>
            <w:r>
              <w:rPr>
                <w:rFonts w:hint="eastAsia" w:ascii="宋体" w:hAnsi="宋体" w:cs="新宋体"/>
                <w:szCs w:val="21"/>
              </w:rPr>
              <w:t>企业确定并提供了产品要求所需的工作环境，工作环境适宜，现有工作环境能满足提供合格的产品以及生产销售服务的需要。</w:t>
            </w:r>
          </w:p>
          <w:p>
            <w:pPr>
              <w:spacing w:line="360" w:lineRule="auto"/>
              <w:rPr>
                <w:rFonts w:hint="eastAsia" w:ascii="宋体" w:hAnsi="宋体" w:cs="新宋体"/>
                <w:szCs w:val="21"/>
              </w:rPr>
            </w:pPr>
            <w:r>
              <w:rPr>
                <w:rFonts w:hint="eastAsia" w:ascii="宋体" w:hAnsi="宋体" w:cs="新宋体"/>
                <w:szCs w:val="21"/>
              </w:rPr>
              <w:t>企业过程运行环境控制符合要求。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top"/>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宋体" w:hAnsi="宋体" w:cs="新宋体"/>
                <w:szCs w:val="21"/>
              </w:rPr>
            </w:pPr>
            <w:r>
              <w:rPr>
                <w:rFonts w:hint="eastAsia" w:ascii="宋体" w:hAnsi="宋体" w:cs="新宋体"/>
                <w:szCs w:val="21"/>
              </w:rPr>
              <w:t>运行的策划和控制</w:t>
            </w:r>
          </w:p>
          <w:p>
            <w:pPr>
              <w:spacing w:line="360" w:lineRule="auto"/>
              <w:rPr>
                <w:rFonts w:hint="eastAsia" w:ascii="宋体" w:hAnsi="宋体" w:cs="新宋体"/>
                <w:szCs w:val="21"/>
                <w:lang w:val="en-US" w:eastAsia="zh-CN"/>
              </w:rPr>
            </w:pPr>
          </w:p>
        </w:tc>
        <w:tc>
          <w:tcPr>
            <w:tcW w:w="960" w:type="dxa"/>
            <w:vAlign w:val="top"/>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ind w:firstLine="210" w:firstLineChars="100"/>
              <w:rPr>
                <w:rFonts w:hint="eastAsia" w:ascii="宋体" w:hAnsi="宋体" w:cs="新宋体"/>
                <w:szCs w:val="21"/>
                <w:lang w:val="en-US" w:eastAsia="zh-CN"/>
              </w:rPr>
            </w:pPr>
            <w:r>
              <w:rPr>
                <w:rFonts w:hint="eastAsia" w:ascii="宋体" w:hAnsi="宋体" w:cs="新宋体"/>
                <w:szCs w:val="21"/>
              </w:rPr>
              <w:t>8.1</w:t>
            </w:r>
          </w:p>
        </w:tc>
        <w:tc>
          <w:tcPr>
            <w:tcW w:w="10004" w:type="dxa"/>
            <w:vAlign w:val="top"/>
          </w:tcPr>
          <w:p>
            <w:pPr>
              <w:spacing w:line="360" w:lineRule="auto"/>
              <w:rPr>
                <w:rFonts w:hint="eastAsia" w:ascii="宋体" w:hAnsi="宋体" w:cs="新宋体"/>
                <w:szCs w:val="21"/>
              </w:rPr>
            </w:pPr>
            <w:r>
              <w:rPr>
                <w:rFonts w:hint="eastAsia" w:ascii="宋体" w:hAnsi="宋体" w:cs="新宋体"/>
                <w:szCs w:val="21"/>
              </w:rPr>
              <w:t>目前组织提供的产品和服务为：石墨烯导电复合加热膜的设计、生产和销售。产品实现策划由总经理及技术负责人完成。</w:t>
            </w:r>
          </w:p>
          <w:p>
            <w:pPr>
              <w:spacing w:line="360" w:lineRule="auto"/>
              <w:rPr>
                <w:rFonts w:hint="eastAsia" w:ascii="宋体" w:hAnsi="宋体" w:cs="新宋体"/>
                <w:szCs w:val="21"/>
              </w:rPr>
            </w:pPr>
            <w:r>
              <w:rPr>
                <w:rFonts w:hint="eastAsia" w:ascii="宋体" w:hAnsi="宋体" w:cs="新宋体"/>
                <w:szCs w:val="21"/>
              </w:rPr>
              <w:t>一、确定产品和服务的要求：</w:t>
            </w:r>
          </w:p>
          <w:p>
            <w:pPr>
              <w:spacing w:line="360" w:lineRule="auto"/>
              <w:rPr>
                <w:rFonts w:hint="eastAsia" w:ascii="宋体" w:hAnsi="宋体" w:cs="新宋体"/>
                <w:szCs w:val="21"/>
              </w:rPr>
            </w:pPr>
            <w:r>
              <w:rPr>
                <w:rFonts w:hint="eastAsia" w:ascii="宋体" w:hAnsi="宋体" w:cs="新宋体"/>
                <w:szCs w:val="21"/>
              </w:rPr>
              <w:t>1、顾客的合同要求：依据客户要求确定产品的数量、规格、型号、交期等。</w:t>
            </w:r>
          </w:p>
          <w:p>
            <w:pPr>
              <w:spacing w:line="360" w:lineRule="auto"/>
              <w:rPr>
                <w:rFonts w:hint="eastAsia" w:ascii="宋体" w:hAnsi="宋体" w:cs="新宋体"/>
                <w:szCs w:val="21"/>
                <w:lang w:val="en-US" w:eastAsia="zh-CN"/>
              </w:rPr>
            </w:pPr>
            <w:r>
              <w:rPr>
                <w:rFonts w:hint="eastAsia" w:ascii="宋体" w:hAnsi="宋体" w:cs="新宋体"/>
                <w:szCs w:val="21"/>
              </w:rPr>
              <w:t>2、执行的产品标准：GB</w:t>
            </w:r>
            <w:r>
              <w:rPr>
                <w:rFonts w:hint="eastAsia" w:ascii="宋体" w:hAnsi="宋体" w:cs="新宋体"/>
                <w:szCs w:val="21"/>
                <w:lang w:val="en-US" w:eastAsia="zh-CN"/>
              </w:rPr>
              <w:t>/</w:t>
            </w:r>
            <w:r>
              <w:rPr>
                <w:rFonts w:hint="eastAsia" w:ascii="宋体" w:hAnsi="宋体" w:cs="新宋体"/>
                <w:szCs w:val="21"/>
              </w:rPr>
              <w:t>T 4654-2008 非金属基体红外辐射加热器通用技术条件</w:t>
            </w:r>
            <w:r>
              <w:rPr>
                <w:rFonts w:hint="eastAsia" w:ascii="宋体" w:hAnsi="宋体" w:cs="新宋体"/>
                <w:szCs w:val="21"/>
                <w:lang w:eastAsia="zh-CN"/>
              </w:rPr>
              <w:t>、</w:t>
            </w:r>
            <w:r>
              <w:rPr>
                <w:rFonts w:hint="eastAsia" w:ascii="宋体" w:hAnsi="宋体" w:eastAsia="宋体" w:cs="宋体"/>
                <w:i w:val="0"/>
                <w:iCs w:val="0"/>
                <w:color w:val="000000"/>
                <w:kern w:val="0"/>
                <w:sz w:val="20"/>
                <w:szCs w:val="20"/>
                <w:u w:val="none"/>
                <w:lang w:val="en-US" w:eastAsia="zh-CN" w:bidi="ar"/>
              </w:rPr>
              <w:t>JGT 286-2010 低温辐射电热膜</w:t>
            </w:r>
            <w:r>
              <w:rPr>
                <w:rFonts w:hint="eastAsia" w:ascii="宋体" w:hAnsi="宋体" w:cs="宋体"/>
                <w:i w:val="0"/>
                <w:iCs w:val="0"/>
                <w:color w:val="000000"/>
                <w:kern w:val="0"/>
                <w:sz w:val="20"/>
                <w:szCs w:val="20"/>
                <w:u w:val="none"/>
                <w:lang w:val="en-US" w:eastAsia="zh-CN" w:bidi="ar"/>
              </w:rPr>
              <w:t>、</w:t>
            </w:r>
            <w:r>
              <w:rPr>
                <w:rFonts w:hint="eastAsia" w:ascii="宋体" w:hAnsi="宋体" w:cs="新宋体"/>
                <w:szCs w:val="21"/>
                <w:lang w:val="en-US" w:eastAsia="zh-CN"/>
              </w:rPr>
              <w:t>GB 5959.1-2005 电热装置的安全 第1部分：通用要求、</w:t>
            </w:r>
            <w:r>
              <w:rPr>
                <w:rFonts w:hint="eastAsia" w:ascii="宋体" w:hAnsi="宋体" w:eastAsia="宋体" w:cs="宋体"/>
                <w:i w:val="0"/>
                <w:iCs w:val="0"/>
                <w:color w:val="000000"/>
                <w:kern w:val="0"/>
                <w:sz w:val="20"/>
                <w:szCs w:val="20"/>
                <w:u w:val="none"/>
                <w:lang w:val="en-US" w:eastAsia="zh-CN" w:bidi="ar"/>
              </w:rPr>
              <w:t>GB</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T18290[1].2-2000无焊连接 第2部分无焊压接连接 一般要求、试验方法和使用导则</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GB</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T 5169.10-2006 电工电子产品着火危险试验 第10部分：灼热丝、热丝基本试验法_灼热丝装置和通用试验方法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GBT 5169.13-2013 电工电子产品着火危险试验 第13部分灼热丝热丝基本试验方法 材料的灼热丝起燃温度(GWIT)试验方法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GB 4706.82-2007 家用和类似用途电器的安全 房间加热用软片加热元件的特殊要求</w:t>
            </w:r>
            <w:r>
              <w:rPr>
                <w:rFonts w:hint="eastAsia" w:ascii="宋体" w:hAnsi="宋体" w:cs="宋体"/>
                <w:i w:val="0"/>
                <w:iCs w:val="0"/>
                <w:color w:val="000000"/>
                <w:kern w:val="0"/>
                <w:sz w:val="20"/>
                <w:szCs w:val="20"/>
                <w:u w:val="none"/>
                <w:lang w:val="en-US" w:eastAsia="zh-CN" w:bidi="ar"/>
              </w:rPr>
              <w:t>及企业标准</w:t>
            </w:r>
            <w:r>
              <w:rPr>
                <w:rFonts w:hint="eastAsia" w:ascii="宋体" w:hAnsi="宋体" w:cs="新宋体"/>
                <w:szCs w:val="21"/>
              </w:rPr>
              <w:t>和客户要求生产。</w:t>
            </w:r>
          </w:p>
          <w:p>
            <w:pPr>
              <w:spacing w:line="360" w:lineRule="auto"/>
              <w:rPr>
                <w:rFonts w:hint="eastAsia" w:ascii="宋体" w:hAnsi="宋体" w:cs="新宋体"/>
                <w:szCs w:val="21"/>
              </w:rPr>
            </w:pPr>
            <w:r>
              <w:rPr>
                <w:rFonts w:hint="eastAsia" w:ascii="宋体" w:hAnsi="宋体" w:cs="新宋体"/>
                <w:szCs w:val="21"/>
              </w:rPr>
              <w:t>3、质量目标和要求：产品出厂合格率100%</w:t>
            </w:r>
            <w:r>
              <w:rPr>
                <w:rFonts w:hint="eastAsia" w:ascii="宋体" w:hAnsi="宋体" w:cs="新宋体"/>
                <w:szCs w:val="21"/>
              </w:rPr>
              <w:tab/>
            </w:r>
            <w:r>
              <w:rPr>
                <w:rFonts w:hint="eastAsia" w:ascii="宋体" w:hAnsi="宋体" w:cs="新宋体"/>
                <w:szCs w:val="21"/>
              </w:rPr>
              <w:t>顾客满意程度≥90%以上</w:t>
            </w:r>
            <w:r>
              <w:rPr>
                <w:rFonts w:hint="eastAsia" w:ascii="宋体" w:hAnsi="宋体" w:cs="新宋体"/>
                <w:szCs w:val="21"/>
                <w:lang w:val="en-US" w:eastAsia="zh-CN"/>
              </w:rPr>
              <w:t xml:space="preserve">   </w:t>
            </w:r>
            <w:r>
              <w:rPr>
                <w:rFonts w:hint="eastAsia" w:ascii="宋体" w:hAnsi="宋体" w:cs="新宋体"/>
                <w:szCs w:val="21"/>
              </w:rPr>
              <w:t>产品研发按时完成率100%</w:t>
            </w:r>
          </w:p>
          <w:p>
            <w:pPr>
              <w:spacing w:line="360" w:lineRule="auto"/>
              <w:rPr>
                <w:rFonts w:hint="eastAsia" w:ascii="宋体" w:hAnsi="宋体" w:cs="新宋体"/>
                <w:szCs w:val="21"/>
              </w:rPr>
            </w:pPr>
            <w:r>
              <w:rPr>
                <w:rFonts w:hint="eastAsia" w:ascii="宋体" w:hAnsi="宋体" w:cs="新宋体"/>
                <w:szCs w:val="21"/>
              </w:rPr>
              <w:t>二、过程及产品接收准则：</w:t>
            </w:r>
          </w:p>
          <w:p>
            <w:pPr>
              <w:spacing w:line="360" w:lineRule="auto"/>
              <w:rPr>
                <w:rFonts w:hint="eastAsia" w:ascii="宋体" w:hAnsi="宋体" w:cs="新宋体"/>
                <w:szCs w:val="21"/>
              </w:rPr>
            </w:pPr>
            <w:r>
              <w:rPr>
                <w:rFonts w:hint="eastAsia" w:ascii="宋体" w:hAnsi="宋体" w:cs="新宋体"/>
                <w:szCs w:val="21"/>
              </w:rPr>
              <w:t>编制了工艺流程图；</w:t>
            </w:r>
          </w:p>
          <w:p>
            <w:pPr>
              <w:spacing w:line="360" w:lineRule="auto"/>
              <w:rPr>
                <w:rFonts w:hint="eastAsia" w:ascii="宋体" w:hAnsi="宋体" w:cs="新宋体"/>
                <w:b/>
                <w:bCs/>
                <w:szCs w:val="21"/>
              </w:rPr>
            </w:pPr>
            <w:r>
              <w:rPr>
                <w:rFonts w:hint="eastAsia"/>
                <w:b/>
                <w:bCs/>
                <w:color w:val="000000"/>
              </w:rPr>
              <w:t>涂布-分切-老化-丝印-烘烤-光刻-贴电极-贴合正背保护膜-冲孔-铆接导线-端子绝缘-功能测试-外观检验-入库</w:t>
            </w:r>
          </w:p>
          <w:p>
            <w:pPr>
              <w:spacing w:line="360" w:lineRule="auto"/>
              <w:rPr>
                <w:rFonts w:hint="eastAsia" w:ascii="宋体" w:hAnsi="宋体" w:cs="新宋体"/>
                <w:szCs w:val="21"/>
              </w:rPr>
            </w:pPr>
            <w:r>
              <w:rPr>
                <w:rFonts w:hint="eastAsia" w:ascii="宋体" w:hAnsi="宋体" w:cs="新宋体"/>
                <w:szCs w:val="21"/>
              </w:rPr>
              <w:t>对工艺流程的各个过程制定了相应的作业指导书以及控制要求；</w:t>
            </w:r>
          </w:p>
          <w:p>
            <w:pPr>
              <w:spacing w:line="360" w:lineRule="auto"/>
              <w:rPr>
                <w:rFonts w:hint="eastAsia" w:ascii="宋体" w:hAnsi="宋体" w:cs="新宋体"/>
                <w:szCs w:val="21"/>
              </w:rPr>
            </w:pPr>
            <w:r>
              <w:rPr>
                <w:rFonts w:hint="eastAsia" w:ascii="宋体" w:hAnsi="宋体" w:cs="新宋体"/>
                <w:szCs w:val="21"/>
              </w:rPr>
              <w:t>规定了原材料、过程产品、成品的检验验收准则，并制定了检验规范；</w:t>
            </w:r>
          </w:p>
          <w:p>
            <w:pPr>
              <w:spacing w:line="360" w:lineRule="auto"/>
              <w:rPr>
                <w:rFonts w:hint="eastAsia" w:ascii="宋体" w:hAnsi="宋体" w:cs="新宋体"/>
                <w:szCs w:val="21"/>
              </w:rPr>
            </w:pPr>
            <w:r>
              <w:rPr>
                <w:rFonts w:hint="eastAsia" w:ascii="宋体" w:hAnsi="宋体" w:cs="新宋体"/>
                <w:szCs w:val="21"/>
              </w:rPr>
              <w:t>现场对生产各过程填写了采购检验记录、产品过程检验记录、产品检验记录等各种监视和测量记录；</w:t>
            </w:r>
          </w:p>
          <w:p>
            <w:pPr>
              <w:spacing w:line="360" w:lineRule="auto"/>
              <w:rPr>
                <w:rFonts w:hint="eastAsia" w:ascii="宋体" w:hAnsi="宋体" w:cs="新宋体"/>
                <w:szCs w:val="21"/>
              </w:rPr>
            </w:pPr>
            <w:r>
              <w:rPr>
                <w:rFonts w:hint="eastAsia" w:ascii="宋体" w:hAnsi="宋体" w:cs="新宋体"/>
                <w:szCs w:val="21"/>
              </w:rPr>
              <w:t>资源的提供（包括厂房、人员、物资、设备设施、测量设备）。</w:t>
            </w:r>
          </w:p>
          <w:p>
            <w:pPr>
              <w:spacing w:line="360" w:lineRule="auto"/>
              <w:rPr>
                <w:rFonts w:hint="eastAsia" w:ascii="宋体" w:hAnsi="宋体" w:cs="新宋体"/>
                <w:sz w:val="21"/>
                <w:szCs w:val="21"/>
              </w:rPr>
            </w:pPr>
            <w:r>
              <w:rPr>
                <w:rFonts w:hint="eastAsia" w:ascii="宋体" w:hAnsi="宋体" w:cs="新宋体"/>
                <w:sz w:val="21"/>
                <w:szCs w:val="21"/>
              </w:rPr>
              <w:t>三、确定资源需求：</w:t>
            </w:r>
          </w:p>
          <w:p>
            <w:pPr>
              <w:spacing w:line="360" w:lineRule="auto"/>
              <w:rPr>
                <w:rFonts w:hint="eastAsia" w:ascii="宋体" w:hAnsi="宋体" w:cs="新宋体"/>
                <w:sz w:val="21"/>
                <w:szCs w:val="21"/>
              </w:rPr>
            </w:pPr>
            <w:r>
              <w:rPr>
                <w:rFonts w:hint="eastAsia" w:ascii="宋体" w:hAnsi="宋体" w:cs="新宋体"/>
                <w:sz w:val="21"/>
                <w:szCs w:val="21"/>
              </w:rPr>
              <w:t>配备了：</w:t>
            </w:r>
            <w:r>
              <w:rPr>
                <w:rFonts w:hint="eastAsia" w:ascii="宋体" w:hAnsi="宋体" w:eastAsia="宋体" w:cs="宋体"/>
                <w:i w:val="0"/>
                <w:iCs w:val="0"/>
                <w:color w:val="000000"/>
                <w:kern w:val="0"/>
                <w:sz w:val="21"/>
                <w:szCs w:val="21"/>
                <w:u w:val="none"/>
                <w:lang w:val="en-US" w:eastAsia="zh-CN" w:bidi="ar"/>
              </w:rPr>
              <w:t>镭射切割雕刻机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丝网印刷机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除湿机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压膜机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贴合机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螺杆式空压机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精密型水平运风烤箱</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薄膜激光刻蚀机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银浆激光刻蚀机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紫外激光刻印机</w:t>
            </w:r>
            <w:r>
              <w:rPr>
                <w:rFonts w:hint="eastAsia" w:ascii="宋体" w:hAnsi="宋体" w:cs="宋体"/>
                <w:i w:val="0"/>
                <w:iCs w:val="0"/>
                <w:color w:val="000000"/>
                <w:kern w:val="0"/>
                <w:sz w:val="21"/>
                <w:szCs w:val="21"/>
                <w:u w:val="none"/>
                <w:lang w:val="en-US" w:eastAsia="zh-CN" w:bidi="ar"/>
              </w:rPr>
              <w:t>、横切</w:t>
            </w:r>
            <w:r>
              <w:rPr>
                <w:rFonts w:hint="eastAsia" w:ascii="宋体" w:hAnsi="宋体" w:eastAsia="宋体" w:cs="宋体"/>
                <w:i w:val="0"/>
                <w:iCs w:val="0"/>
                <w:color w:val="000000"/>
                <w:kern w:val="0"/>
                <w:sz w:val="21"/>
                <w:szCs w:val="21"/>
                <w:u w:val="none"/>
                <w:lang w:val="en-US" w:eastAsia="zh-CN" w:bidi="ar"/>
              </w:rPr>
              <w:t>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分切机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覆膜机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全自动冲孔机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热收缩包装机</w:t>
            </w:r>
            <w:r>
              <w:rPr>
                <w:rFonts w:hint="eastAsia" w:ascii="宋体" w:hAnsi="宋体" w:cs="宋体"/>
                <w:i w:val="0"/>
                <w:iCs w:val="0"/>
                <w:color w:val="000000"/>
                <w:kern w:val="0"/>
                <w:sz w:val="21"/>
                <w:szCs w:val="21"/>
                <w:u w:val="none"/>
                <w:lang w:val="en-US" w:eastAsia="zh-CN" w:bidi="ar"/>
              </w:rPr>
              <w:t>等</w:t>
            </w:r>
            <w:r>
              <w:rPr>
                <w:rFonts w:hint="eastAsia" w:ascii="宋体" w:hAnsi="宋体" w:cs="新宋体"/>
                <w:sz w:val="21"/>
                <w:szCs w:val="21"/>
              </w:rPr>
              <w:t>，设备运转正常。</w:t>
            </w:r>
          </w:p>
          <w:p>
            <w:pPr>
              <w:spacing w:line="360" w:lineRule="auto"/>
              <w:rPr>
                <w:rFonts w:hint="eastAsia" w:ascii="宋体" w:hAnsi="宋体" w:cs="新宋体"/>
                <w:szCs w:val="21"/>
              </w:rPr>
            </w:pPr>
            <w:r>
              <w:rPr>
                <w:rFonts w:hint="eastAsia" w:ascii="宋体" w:hAnsi="宋体" w:cs="新宋体"/>
                <w:szCs w:val="21"/>
              </w:rPr>
              <w:t>四、实施过程控制：策划了各过程的管理要求文件：现场有：图纸、工艺单、生产单、作业指导书,可以满足指导操作的要求。</w:t>
            </w:r>
          </w:p>
          <w:p>
            <w:pPr>
              <w:spacing w:line="360" w:lineRule="auto"/>
              <w:rPr>
                <w:rFonts w:hint="eastAsia" w:ascii="宋体" w:hAnsi="宋体" w:cs="新宋体"/>
                <w:szCs w:val="21"/>
              </w:rPr>
            </w:pPr>
            <w:r>
              <w:rPr>
                <w:rFonts w:hint="eastAsia" w:ascii="宋体" w:hAnsi="宋体" w:cs="新宋体"/>
                <w:szCs w:val="21"/>
              </w:rPr>
              <w:t>五、根据企业体系运行控制的要求策划了成文信息要求，用于保持、保留有关质量体系运行要求的成文信息。</w:t>
            </w:r>
          </w:p>
          <w:p>
            <w:pPr>
              <w:spacing w:line="360" w:lineRule="auto"/>
              <w:rPr>
                <w:rFonts w:hint="eastAsia" w:ascii="宋体" w:hAnsi="宋体" w:cs="新宋体"/>
                <w:szCs w:val="21"/>
              </w:rPr>
            </w:pPr>
            <w:r>
              <w:rPr>
                <w:rFonts w:hint="eastAsia" w:ascii="宋体" w:hAnsi="宋体" w:cs="新宋体"/>
                <w:szCs w:val="21"/>
              </w:rPr>
              <w:t>六、目前产品运输过程外包，按照Q8.4条款的要求进行控制。</w:t>
            </w:r>
          </w:p>
          <w:p>
            <w:pPr>
              <w:spacing w:line="360" w:lineRule="auto"/>
              <w:rPr>
                <w:rFonts w:hint="eastAsia" w:ascii="宋体" w:hAnsi="宋体" w:cs="新宋体"/>
                <w:szCs w:val="21"/>
                <w:lang w:val="en-US" w:eastAsia="zh-CN"/>
              </w:rPr>
            </w:pPr>
            <w:r>
              <w:rPr>
                <w:rFonts w:hint="eastAsia" w:ascii="宋体" w:hAnsi="宋体" w:cs="新宋体"/>
                <w:szCs w:val="21"/>
              </w:rPr>
              <w:t>七、策划的输出适合于组织的运行，暂无变更。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楷体" w:hAnsi="楷体" w:eastAsia="楷体" w:cs="Times New Roman"/>
                <w:b/>
                <w:kern w:val="2"/>
                <w:sz w:val="24"/>
                <w:szCs w:val="24"/>
                <w:lang w:val="en-US" w:eastAsia="zh-CN" w:bidi="ar-SA"/>
              </w:rPr>
            </w:pPr>
            <w:r>
              <w:rPr>
                <w:rFonts w:hint="eastAsia" w:ascii="宋体" w:hAnsi="宋体" w:cs="新宋体"/>
                <w:szCs w:val="21"/>
              </w:rPr>
              <w:t>生产和服务提供的控制</w:t>
            </w:r>
          </w:p>
        </w:tc>
        <w:tc>
          <w:tcPr>
            <w:tcW w:w="960" w:type="dxa"/>
            <w:vAlign w:val="top"/>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楷体" w:hAnsi="楷体" w:eastAsia="楷体" w:cs="宋体"/>
                <w:bCs/>
                <w:kern w:val="2"/>
                <w:sz w:val="24"/>
                <w:szCs w:val="24"/>
                <w:lang w:val="en-US" w:eastAsia="zh-CN" w:bidi="ar-SA"/>
              </w:rPr>
            </w:pPr>
            <w:r>
              <w:rPr>
                <w:rFonts w:hint="eastAsia" w:ascii="宋体" w:hAnsi="宋体" w:cs="新宋体"/>
                <w:szCs w:val="21"/>
              </w:rPr>
              <w:t>8.5.1</w:t>
            </w:r>
          </w:p>
        </w:tc>
        <w:tc>
          <w:tcPr>
            <w:tcW w:w="10004" w:type="dxa"/>
            <w:vAlign w:val="top"/>
          </w:tcPr>
          <w:p>
            <w:pPr>
              <w:spacing w:line="360" w:lineRule="auto"/>
              <w:rPr>
                <w:rFonts w:hint="eastAsia" w:ascii="宋体" w:hAnsi="宋体" w:cs="新宋体"/>
                <w:szCs w:val="21"/>
              </w:rPr>
            </w:pPr>
            <w:r>
              <w:rPr>
                <w:rFonts w:hint="eastAsia" w:ascii="宋体" w:hAnsi="宋体" w:cs="新宋体"/>
                <w:szCs w:val="21"/>
              </w:rPr>
              <w:t>公司规定了生产和服务的控制要求，符合企业实际和标准要求，具有可操作性。</w:t>
            </w:r>
          </w:p>
          <w:p>
            <w:pPr>
              <w:spacing w:line="360" w:lineRule="auto"/>
              <w:rPr>
                <w:rFonts w:hint="eastAsia" w:ascii="宋体" w:hAnsi="宋体" w:cs="新宋体"/>
                <w:szCs w:val="21"/>
              </w:rPr>
            </w:pPr>
            <w:r>
              <w:rPr>
                <w:rFonts w:hint="eastAsia" w:ascii="宋体" w:hAnsi="宋体" w:cs="新宋体"/>
                <w:szCs w:val="21"/>
              </w:rPr>
              <w:t>一、现场查看受控条件：</w:t>
            </w:r>
          </w:p>
          <w:p>
            <w:pPr>
              <w:spacing w:line="360" w:lineRule="auto"/>
              <w:ind w:firstLine="420" w:firstLineChars="200"/>
              <w:rPr>
                <w:rFonts w:hint="eastAsia" w:ascii="宋体" w:hAnsi="宋体" w:cs="新宋体"/>
                <w:szCs w:val="21"/>
              </w:rPr>
            </w:pPr>
            <w:r>
              <w:rPr>
                <w:rFonts w:hint="eastAsia" w:ascii="宋体" w:hAnsi="宋体" w:cs="新宋体"/>
                <w:szCs w:val="21"/>
              </w:rPr>
              <w:t xml:space="preserve">1) </w:t>
            </w:r>
            <w:r>
              <w:rPr>
                <w:rFonts w:hint="eastAsia" w:ascii="宋体" w:hAnsi="宋体" w:cs="新宋体"/>
                <w:szCs w:val="21"/>
                <w:lang w:val="en-US" w:eastAsia="zh-CN"/>
              </w:rPr>
              <w:t>制造部</w:t>
            </w:r>
            <w:r>
              <w:rPr>
                <w:rFonts w:hint="eastAsia" w:ascii="宋体" w:hAnsi="宋体" w:cs="新宋体"/>
                <w:szCs w:val="21"/>
              </w:rPr>
              <w:t>目前从事的是石墨烯导电复合加热膜的设计、生产和销售。</w:t>
            </w:r>
          </w:p>
          <w:p>
            <w:pPr>
              <w:spacing w:line="360" w:lineRule="auto"/>
              <w:ind w:firstLine="420" w:firstLineChars="200"/>
              <w:rPr>
                <w:rFonts w:hint="eastAsia" w:ascii="宋体" w:hAnsi="宋体" w:cs="新宋体"/>
                <w:szCs w:val="21"/>
              </w:rPr>
            </w:pPr>
            <w:r>
              <w:rPr>
                <w:rFonts w:hint="eastAsia" w:ascii="宋体" w:hAnsi="宋体" w:cs="新宋体"/>
                <w:szCs w:val="21"/>
              </w:rPr>
              <w:t>产品生产的工艺流程是：</w:t>
            </w:r>
          </w:p>
          <w:p>
            <w:pPr>
              <w:spacing w:line="360" w:lineRule="auto"/>
              <w:ind w:firstLine="420" w:firstLineChars="200"/>
              <w:rPr>
                <w:rFonts w:hint="eastAsia" w:ascii="宋体" w:hAnsi="宋体" w:cs="新宋体"/>
                <w:szCs w:val="21"/>
              </w:rPr>
            </w:pPr>
            <w:r>
              <w:rPr>
                <w:rFonts w:hint="eastAsia" w:ascii="宋体" w:hAnsi="宋体" w:cs="新宋体"/>
                <w:szCs w:val="21"/>
              </w:rPr>
              <w:t>涂布-分切-老化-丝印-烘烤-光刻-贴电极-贴合正背保护膜</w:t>
            </w:r>
            <w:r>
              <w:rPr>
                <w:rFonts w:hint="eastAsia" w:ascii="宋体" w:hAnsi="宋体" w:cs="新宋体"/>
                <w:szCs w:val="21"/>
                <w:lang w:val="en-US" w:eastAsia="zh-CN"/>
              </w:rPr>
              <w:t>-外形切割</w:t>
            </w:r>
            <w:r>
              <w:rPr>
                <w:rFonts w:hint="eastAsia" w:ascii="宋体" w:hAnsi="宋体" w:cs="新宋体"/>
                <w:szCs w:val="21"/>
              </w:rPr>
              <w:t>-冲孔-铆接导线-端子绝缘-功能测试-外观检验-入库</w:t>
            </w:r>
          </w:p>
          <w:p>
            <w:pPr>
              <w:spacing w:line="360" w:lineRule="auto"/>
              <w:ind w:firstLine="420" w:firstLineChars="200"/>
              <w:rPr>
                <w:rFonts w:hint="eastAsia" w:ascii="宋体" w:hAnsi="宋体" w:cs="新宋体"/>
                <w:szCs w:val="21"/>
              </w:rPr>
            </w:pPr>
            <w:r>
              <w:rPr>
                <w:rFonts w:hint="eastAsia" w:ascii="宋体" w:hAnsi="宋体" w:cs="新宋体"/>
                <w:szCs w:val="21"/>
              </w:rPr>
              <w:t>通常依据客户的订单来确定需要生产数量、规格/型号、交货期等制作相应的生产计划单，从而控制生产和销售的有序进行。</w:t>
            </w:r>
          </w:p>
          <w:p>
            <w:pPr>
              <w:spacing w:line="360" w:lineRule="auto"/>
              <w:ind w:firstLine="420" w:firstLineChars="200"/>
              <w:rPr>
                <w:rFonts w:hint="eastAsia" w:ascii="宋体" w:hAnsi="宋体" w:cs="新宋体"/>
                <w:szCs w:val="21"/>
              </w:rPr>
            </w:pPr>
            <w:r>
              <w:rPr>
                <w:rFonts w:hint="eastAsia" w:ascii="宋体" w:hAnsi="宋体" w:cs="新宋体"/>
                <w:szCs w:val="21"/>
              </w:rPr>
              <w:t>提供了顾客的订单要求，内容包括：规格型号、数量、价格、交货期，齐全完整。</w:t>
            </w:r>
          </w:p>
          <w:p>
            <w:pPr>
              <w:spacing w:line="360" w:lineRule="auto"/>
              <w:ind w:firstLine="420" w:firstLineChars="200"/>
              <w:rPr>
                <w:rFonts w:hint="eastAsia" w:ascii="宋体" w:hAnsi="宋体" w:cs="新宋体"/>
                <w:color w:val="FF0000"/>
                <w:szCs w:val="21"/>
                <w:lang w:eastAsia="zh-CN"/>
              </w:rPr>
            </w:pPr>
            <w:r>
              <w:rPr>
                <w:rFonts w:hint="eastAsia" w:ascii="宋体" w:hAnsi="宋体" w:cs="新宋体"/>
                <w:szCs w:val="21"/>
              </w:rPr>
              <w:t>根据客户订单下发生产</w:t>
            </w:r>
            <w:r>
              <w:rPr>
                <w:rFonts w:hint="eastAsia" w:ascii="宋体" w:hAnsi="宋体" w:cs="新宋体"/>
                <w:szCs w:val="21"/>
                <w:lang w:val="en-US" w:eastAsia="zh-CN"/>
              </w:rPr>
              <w:t>计划通知</w:t>
            </w:r>
            <w:r>
              <w:rPr>
                <w:rFonts w:hint="eastAsia" w:ascii="宋体" w:hAnsi="宋体" w:cs="新宋体"/>
                <w:szCs w:val="21"/>
              </w:rPr>
              <w:t>单， 查见</w:t>
            </w:r>
            <w:r>
              <w:rPr>
                <w:rFonts w:hint="eastAsia" w:ascii="宋体" w:hAnsi="宋体" w:cs="新宋体"/>
                <w:szCs w:val="21"/>
                <w:lang w:val="en-US" w:eastAsia="zh-CN"/>
              </w:rPr>
              <w:t>2022.3.5《</w:t>
            </w:r>
            <w:r>
              <w:rPr>
                <w:rFonts w:hint="eastAsia" w:ascii="宋体" w:hAnsi="宋体" w:cs="新宋体"/>
                <w:szCs w:val="21"/>
              </w:rPr>
              <w:t>生产</w:t>
            </w:r>
            <w:r>
              <w:rPr>
                <w:rFonts w:hint="eastAsia" w:ascii="宋体" w:hAnsi="宋体" w:cs="新宋体"/>
                <w:szCs w:val="21"/>
                <w:lang w:val="en-US" w:eastAsia="zh-CN"/>
              </w:rPr>
              <w:t>计划通知</w:t>
            </w:r>
            <w:r>
              <w:rPr>
                <w:rFonts w:hint="eastAsia" w:ascii="宋体" w:hAnsi="宋体" w:cs="新宋体"/>
                <w:szCs w:val="21"/>
              </w:rPr>
              <w:t>单</w:t>
            </w:r>
            <w:r>
              <w:rPr>
                <w:rFonts w:hint="eastAsia" w:ascii="宋体" w:hAnsi="宋体" w:cs="新宋体"/>
                <w:szCs w:val="21"/>
                <w:lang w:val="en-US" w:eastAsia="zh-CN"/>
              </w:rPr>
              <w:t>》</w:t>
            </w:r>
          </w:p>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drawing>
                <wp:anchor distT="0" distB="0" distL="114300" distR="114300" simplePos="0" relativeHeight="251659264" behindDoc="0" locked="0" layoutInCell="1" allowOverlap="1">
                  <wp:simplePos x="0" y="0"/>
                  <wp:positionH relativeFrom="column">
                    <wp:posOffset>981710</wp:posOffset>
                  </wp:positionH>
                  <wp:positionV relativeFrom="paragraph">
                    <wp:posOffset>-746125</wp:posOffset>
                  </wp:positionV>
                  <wp:extent cx="1151255" cy="3009265"/>
                  <wp:effectExtent l="0" t="0" r="635" b="4445"/>
                  <wp:wrapNone/>
                  <wp:docPr id="5" name="图片 5" descr="e45c7046929e1c9c43180bf87292f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45c7046929e1c9c43180bf87292f79"/>
                          <pic:cNvPicPr>
                            <a:picLocks noChangeAspect="1"/>
                          </pic:cNvPicPr>
                        </pic:nvPicPr>
                        <pic:blipFill>
                          <a:blip r:embed="rId6"/>
                          <a:srcRect l="28593" t="6084" r="22037" b="13935"/>
                          <a:stretch>
                            <a:fillRect/>
                          </a:stretch>
                        </pic:blipFill>
                        <pic:spPr>
                          <a:xfrm rot="16200000">
                            <a:off x="0" y="0"/>
                            <a:ext cx="1151255" cy="3009265"/>
                          </a:xfrm>
                          <a:prstGeom prst="rect">
                            <a:avLst/>
                          </a:prstGeom>
                        </pic:spPr>
                      </pic:pic>
                    </a:graphicData>
                  </a:graphic>
                </wp:anchor>
              </w:drawing>
            </w:r>
            <w:r>
              <w:rPr>
                <w:rFonts w:hint="eastAsia" w:ascii="楷体" w:hAnsi="楷体" w:eastAsia="楷体"/>
                <w:sz w:val="24"/>
                <w:szCs w:val="24"/>
                <w:lang w:eastAsia="zh-CN"/>
              </w:rPr>
              <w:drawing>
                <wp:anchor distT="0" distB="0" distL="114300" distR="114300" simplePos="0" relativeHeight="251660288" behindDoc="0" locked="0" layoutInCell="1" allowOverlap="1">
                  <wp:simplePos x="0" y="0"/>
                  <wp:positionH relativeFrom="column">
                    <wp:posOffset>3918585</wp:posOffset>
                  </wp:positionH>
                  <wp:positionV relativeFrom="paragraph">
                    <wp:posOffset>-704850</wp:posOffset>
                  </wp:positionV>
                  <wp:extent cx="1254125" cy="2783205"/>
                  <wp:effectExtent l="0" t="0" r="10795" b="3175"/>
                  <wp:wrapNone/>
                  <wp:docPr id="9" name="图片 9" descr="5f2b86b697086b863852ede9bbde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f2b86b697086b863852ede9bbde502"/>
                          <pic:cNvPicPr>
                            <a:picLocks noChangeAspect="1"/>
                          </pic:cNvPicPr>
                        </pic:nvPicPr>
                        <pic:blipFill>
                          <a:blip r:embed="rId7"/>
                          <a:srcRect l="20470" r="16852"/>
                          <a:stretch>
                            <a:fillRect/>
                          </a:stretch>
                        </pic:blipFill>
                        <pic:spPr>
                          <a:xfrm rot="16200000">
                            <a:off x="0" y="0"/>
                            <a:ext cx="1254125" cy="2783205"/>
                          </a:xfrm>
                          <a:prstGeom prst="rect">
                            <a:avLst/>
                          </a:prstGeom>
                        </pic:spPr>
                      </pic:pic>
                    </a:graphicData>
                  </a:graphic>
                </wp:anchor>
              </w:drawing>
            </w:r>
            <w:r>
              <w:rPr>
                <w:rFonts w:hint="eastAsia" w:ascii="宋体" w:hAnsi="宋体" w:cs="新宋体"/>
                <w:color w:val="FF0000"/>
                <w:szCs w:val="21"/>
                <w:lang w:val="en-US" w:eastAsia="zh-CN"/>
              </w:rPr>
              <w:t xml:space="preserve">                        </w:t>
            </w:r>
          </w:p>
          <w:p>
            <w:pPr>
              <w:spacing w:line="360" w:lineRule="auto"/>
              <w:rPr>
                <w:rFonts w:hint="eastAsia" w:ascii="楷体" w:hAnsi="楷体" w:eastAsia="楷体"/>
                <w:sz w:val="24"/>
                <w:szCs w:val="24"/>
                <w:lang w:eastAsia="zh-CN"/>
              </w:rPr>
            </w:pPr>
            <w:r>
              <w:rPr>
                <w:rFonts w:hint="eastAsia" w:ascii="楷体" w:hAnsi="楷体" w:eastAsia="楷体"/>
                <w:sz w:val="24"/>
                <w:szCs w:val="24"/>
                <w:lang w:val="en-US" w:eastAsia="zh-CN"/>
              </w:rPr>
              <w:t xml:space="preserve">                    </w:t>
            </w: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ind w:firstLine="420" w:firstLineChars="200"/>
              <w:rPr>
                <w:rFonts w:hint="eastAsia" w:ascii="宋体" w:hAnsi="宋体" w:cs="新宋体"/>
                <w:szCs w:val="21"/>
              </w:rPr>
            </w:pPr>
            <w:r>
              <w:rPr>
                <w:rFonts w:hint="eastAsia" w:ascii="宋体" w:hAnsi="宋体" w:cs="新宋体"/>
                <w:szCs w:val="21"/>
                <w:lang w:val="en-US" w:eastAsia="zh-CN"/>
              </w:rPr>
              <w:t>提供</w:t>
            </w:r>
            <w:r>
              <w:rPr>
                <w:rFonts w:hint="eastAsia" w:ascii="宋体" w:hAnsi="宋体" w:cs="新宋体"/>
                <w:szCs w:val="21"/>
              </w:rPr>
              <w:t>有：设备操作规程、图纸、工艺单、作业指导书、检验规程,可以满足指导操作的要求。</w:t>
            </w:r>
          </w:p>
          <w:p>
            <w:pPr>
              <w:spacing w:line="360" w:lineRule="auto"/>
              <w:rPr>
                <w:rFonts w:hint="eastAsia" w:ascii="宋体" w:hAnsi="宋体" w:cs="新宋体"/>
                <w:szCs w:val="21"/>
              </w:rPr>
            </w:pPr>
            <w:r>
              <w:rPr>
                <w:rFonts w:hint="eastAsia" w:ascii="宋体" w:hAnsi="宋体" w:cs="新宋体"/>
                <w:szCs w:val="21"/>
              </w:rPr>
              <w:t>2）提供和配置了</w:t>
            </w:r>
            <w:r>
              <w:rPr>
                <w:rFonts w:hint="eastAsia" w:ascii="宋体" w:hAnsi="宋体" w:cs="新宋体"/>
                <w:szCs w:val="21"/>
                <w:lang w:eastAsia="zh-CN"/>
              </w:rPr>
              <w:t>（</w:t>
            </w:r>
            <w:r>
              <w:rPr>
                <w:rFonts w:hint="eastAsia" w:ascii="宋体" w:hAnsi="宋体" w:cs="新宋体"/>
                <w:szCs w:val="21"/>
                <w:lang w:val="en-US" w:eastAsia="zh-CN"/>
              </w:rPr>
              <w:t>计量器具</w:t>
            </w:r>
            <w:r>
              <w:rPr>
                <w:rFonts w:hint="eastAsia" w:ascii="宋体" w:hAnsi="宋体" w:cs="新宋体"/>
                <w:szCs w:val="21"/>
                <w:lang w:eastAsia="zh-CN"/>
              </w:rPr>
              <w:t>）</w:t>
            </w:r>
            <w:r>
              <w:rPr>
                <w:rFonts w:hint="eastAsia" w:ascii="宋体" w:hAnsi="宋体" w:cs="新宋体"/>
                <w:szCs w:val="21"/>
              </w:rPr>
              <w:t>压力表、电子天平、温湿度计、电子秤</w:t>
            </w:r>
            <w:r>
              <w:rPr>
                <w:rFonts w:hint="eastAsia" w:ascii="宋体" w:hAnsi="宋体" w:cs="新宋体"/>
                <w:szCs w:val="21"/>
                <w:lang w:eastAsia="zh-CN"/>
              </w:rPr>
              <w:t>、</w:t>
            </w:r>
            <w:r>
              <w:rPr>
                <w:rFonts w:hint="eastAsia" w:ascii="宋体" w:hAnsi="宋体" w:cs="新宋体"/>
                <w:szCs w:val="21"/>
                <w:lang w:val="en-US" w:eastAsia="zh-CN"/>
              </w:rPr>
              <w:t>直流稳压电源、万用表</w:t>
            </w:r>
            <w:r>
              <w:rPr>
                <w:rFonts w:hint="eastAsia" w:ascii="宋体" w:hAnsi="宋体" w:cs="新宋体"/>
                <w:szCs w:val="21"/>
              </w:rPr>
              <w:t>等，能提供电子天平、温湿度计、电子秤</w:t>
            </w:r>
            <w:r>
              <w:rPr>
                <w:rFonts w:hint="eastAsia" w:ascii="宋体" w:hAnsi="宋体" w:cs="新宋体"/>
                <w:szCs w:val="21"/>
                <w:lang w:eastAsia="zh-CN"/>
              </w:rPr>
              <w:t>、</w:t>
            </w:r>
            <w:r>
              <w:rPr>
                <w:rFonts w:hint="eastAsia" w:ascii="宋体" w:hAnsi="宋体" w:cs="新宋体"/>
                <w:szCs w:val="21"/>
                <w:lang w:val="en-US" w:eastAsia="zh-CN"/>
              </w:rPr>
              <w:t>直流稳压电源、万用表</w:t>
            </w:r>
            <w:r>
              <w:rPr>
                <w:rFonts w:hint="eastAsia" w:ascii="宋体" w:hAnsi="宋体" w:cs="新宋体"/>
                <w:szCs w:val="21"/>
              </w:rPr>
              <w:t>等，监视和测量设备配置适宜，维护保养良好，能够满足质量特性测量需要。</w:t>
            </w:r>
          </w:p>
          <w:p>
            <w:pPr>
              <w:spacing w:line="360" w:lineRule="auto"/>
              <w:rPr>
                <w:rFonts w:hint="eastAsia" w:ascii="宋体" w:hAnsi="宋体" w:cs="新宋体"/>
                <w:szCs w:val="21"/>
                <w:lang w:val="en-US" w:eastAsia="zh-CN"/>
              </w:rPr>
            </w:pPr>
            <w:r>
              <w:rPr>
                <w:rFonts w:hint="eastAsia" w:ascii="宋体" w:hAnsi="宋体" w:cs="新宋体"/>
                <w:szCs w:val="21"/>
                <w:lang w:val="en-US" w:eastAsia="zh-CN"/>
              </w:rPr>
              <w:t>3）检验活动有原材料检验、过程检验、成品检验。</w:t>
            </w:r>
          </w:p>
          <w:p>
            <w:pPr>
              <w:spacing w:line="360" w:lineRule="auto"/>
              <w:rPr>
                <w:rFonts w:hint="eastAsia" w:ascii="宋体" w:hAnsi="宋体" w:cs="新宋体"/>
                <w:szCs w:val="21"/>
                <w:lang w:val="en-US" w:eastAsia="zh-CN"/>
              </w:rPr>
            </w:pPr>
            <w:r>
              <w:rPr>
                <w:rFonts w:hint="eastAsia" w:ascii="宋体" w:hAnsi="宋体" w:cs="新宋体"/>
                <w:szCs w:val="21"/>
                <w:lang w:val="en-US" w:eastAsia="zh-CN"/>
              </w:rPr>
              <w:t>4）提供和配备了镭射切割雕刻机、丝网印刷机、除湿机、压膜机、贴合机、螺杆式空压机、精密型水平运风烤箱、薄膜激光刻蚀机、银浆激光刻蚀机、紫外激光刻印机、横切机、分切机、覆膜机、全自动冲孔机、热收缩包装机等，设备运转正常，维护保养良好，配置适宜于生产工艺过程。设备能按照生产流程摆放，摆放基本合理，车间通风良好，光线充足，车间内地面比较干净、整洁，有安全通道和灭火器，基础设施和环境能够满足生产需求。</w:t>
            </w:r>
          </w:p>
          <w:p>
            <w:pPr>
              <w:spacing w:line="360" w:lineRule="auto"/>
              <w:rPr>
                <w:rFonts w:hint="eastAsia" w:ascii="宋体" w:hAnsi="宋体" w:cs="新宋体"/>
                <w:szCs w:val="21"/>
                <w:lang w:val="en-US" w:eastAsia="zh-CN"/>
              </w:rPr>
            </w:pPr>
            <w:r>
              <w:rPr>
                <w:rFonts w:hint="eastAsia" w:ascii="宋体" w:hAnsi="宋体" w:cs="新宋体"/>
                <w:szCs w:val="21"/>
                <w:lang w:val="en-US" w:eastAsia="zh-CN"/>
              </w:rPr>
              <w:t>5）2D-TE-SOPO01镭射切割雕刻机作业指导书、2D-TE -SOPO02丝网印刷机作业指导书、2D- TE -SOPO03压膜机作业指导书、2D- TE -SOPO04贴合机作业指导书、2D- TE -SOP005精密型水平运风烤箱作业指导书、2D- TE -SOP006德龙激光刻蚀机作业指导书、2D- TE -SOP007思拓激光刻蚀机作业指导书、2D- TE -SOP008紫外激光刻印机作业指导书、2D- TE -SOP009切片机作业指导书、2D- TE -SOPO10分切机作业指导书、2D- TE -SOP011液压覆膜机作业指导书、2D- TE -SOP012自动冲孔机作业指导书、2D- TE -SOPO13横切机作业指导书、2D- TE -SOPO14全自动电热膜丝印机作业指导书、2D- TE -SOP015丝印工艺参数作业指导书、2D- TE -SOPO16网板管理作业指导书、2D- TE -SOP017网板清洗作业指导书板等，生产操作人员和技术人员、管理人员以及质检员都经过了培训，能力满足要求。</w:t>
            </w:r>
          </w:p>
          <w:p>
            <w:pPr>
              <w:spacing w:line="360" w:lineRule="auto"/>
              <w:rPr>
                <w:rFonts w:hint="eastAsia" w:ascii="宋体" w:hAnsi="宋体" w:cs="新宋体"/>
                <w:szCs w:val="21"/>
                <w:lang w:val="en-US" w:eastAsia="zh-CN"/>
              </w:rPr>
            </w:pPr>
            <w:r>
              <w:rPr>
                <w:rFonts w:hint="eastAsia" w:ascii="宋体" w:hAnsi="宋体" w:cs="新宋体"/>
                <w:szCs w:val="21"/>
                <w:lang w:val="en-US" w:eastAsia="zh-CN"/>
              </w:rPr>
              <w:t>6）经确认公司生产过程中的特殊过程是涂布过程过程，提供了特殊过程确认记录，</w:t>
            </w:r>
          </w:p>
          <w:p>
            <w:pPr>
              <w:spacing w:line="360" w:lineRule="auto"/>
              <w:ind w:firstLine="422" w:firstLineChars="200"/>
              <w:rPr>
                <w:rFonts w:hint="eastAsia" w:ascii="宋体" w:hAnsi="宋体" w:cs="新宋体"/>
                <w:b/>
                <w:bCs/>
                <w:szCs w:val="21"/>
                <w:lang w:val="en-US" w:eastAsia="zh-CN"/>
              </w:rPr>
            </w:pPr>
            <w:r>
              <w:rPr>
                <w:rFonts w:hint="eastAsia" w:ascii="宋体" w:hAnsi="宋体" w:cs="新宋体"/>
                <w:b/>
                <w:bCs/>
                <w:szCs w:val="21"/>
                <w:lang w:val="en-US" w:eastAsia="zh-CN"/>
              </w:rPr>
              <w:t>未提供需要确认的涂布过程的参数要求及确认的证据。</w:t>
            </w:r>
          </w:p>
          <w:p>
            <w:pPr>
              <w:spacing w:line="360" w:lineRule="auto"/>
              <w:rPr>
                <w:rFonts w:hint="eastAsia" w:ascii="宋体" w:hAnsi="宋体" w:cs="新宋体"/>
                <w:szCs w:val="21"/>
                <w:lang w:val="en-US" w:eastAsia="zh-CN"/>
              </w:rPr>
            </w:pPr>
            <w:r>
              <w:rPr>
                <w:rFonts w:hint="eastAsia" w:ascii="宋体" w:hAnsi="宋体" w:cs="新宋体"/>
                <w:szCs w:val="21"/>
                <w:lang w:val="en-US" w:eastAsia="zh-CN"/>
              </w:rPr>
              <w:t>7）提供了设备安全操作规程、作业指导书、图纸、工艺单等，规定了操作的步骤、方法、注意事项等，操作人员直接按要求进行控制，加强班前会业务能力培训，防止人为错误。</w:t>
            </w:r>
          </w:p>
          <w:p>
            <w:pPr>
              <w:spacing w:line="360" w:lineRule="auto"/>
              <w:rPr>
                <w:rFonts w:hint="eastAsia" w:ascii="宋体" w:hAnsi="宋体" w:cs="新宋体"/>
                <w:szCs w:val="21"/>
                <w:lang w:val="en-US" w:eastAsia="zh-CN"/>
              </w:rPr>
            </w:pPr>
            <w:r>
              <w:rPr>
                <w:rFonts w:hint="eastAsia" w:ascii="宋体" w:hAnsi="宋体" w:cs="新宋体"/>
                <w:szCs w:val="21"/>
                <w:lang w:val="en-US" w:eastAsia="zh-CN"/>
              </w:rPr>
              <w:t>8)所有的产品(从原材料至成品)都必须经检验合格后方可转序、入库和交付。品管科负责产品的检验和放行，产品经过测试检验合格后方可放行和交付，业务科负责产品交付和交付后活动的实施，并负责联系售后服务。发货前由业务科开具出库单，成品库管员依据出库单发货，公司负责联系货运交付到指定地点，经查出库、交付手续齐全。</w:t>
            </w:r>
          </w:p>
          <w:p>
            <w:pPr>
              <w:spacing w:line="360" w:lineRule="auto"/>
              <w:rPr>
                <w:rFonts w:hint="eastAsia" w:ascii="宋体" w:hAnsi="宋体" w:cs="新宋体"/>
                <w:szCs w:val="21"/>
                <w:lang w:val="en-US" w:eastAsia="zh-CN"/>
              </w:rPr>
            </w:pPr>
            <w:r>
              <w:rPr>
                <w:rFonts w:hint="eastAsia" w:ascii="宋体" w:hAnsi="宋体" w:cs="新宋体"/>
                <w:szCs w:val="21"/>
                <w:lang w:val="en-US" w:eastAsia="zh-CN"/>
              </w:rPr>
              <w:t xml:space="preserve">远程观察， </w:t>
            </w:r>
          </w:p>
          <w:p>
            <w:pPr>
              <w:spacing w:line="360" w:lineRule="auto"/>
              <w:ind w:firstLine="420" w:firstLineChars="200"/>
              <w:rPr>
                <w:rFonts w:hint="eastAsia" w:ascii="宋体" w:hAnsi="宋体" w:cs="新宋体"/>
                <w:szCs w:val="21"/>
                <w:lang w:val="en-US" w:eastAsia="zh-CN"/>
              </w:rPr>
            </w:pPr>
            <w:bookmarkStart w:id="0" w:name="_GoBack"/>
            <w:r>
              <w:rPr>
                <w:rFonts w:hint="eastAsia" w:ascii="宋体" w:hAnsi="宋体" w:cs="新宋体"/>
                <w:szCs w:val="21"/>
                <w:lang w:val="en-US" w:eastAsia="zh-CN"/>
              </w:rPr>
              <w:t>涂布</w:t>
            </w:r>
            <w:bookmarkEnd w:id="0"/>
            <w:r>
              <w:rPr>
                <w:rFonts w:hint="eastAsia" w:ascii="宋体" w:hAnsi="宋体" w:cs="新宋体"/>
                <w:szCs w:val="21"/>
                <w:lang w:val="en-US" w:eastAsia="zh-CN"/>
              </w:rPr>
              <w:t>工序：操作工：顾鹏、姜聪 ， 正在操作涂布机，机台号：2D-TB-01 ，程序已调整好，工作区域有生产单和工艺单，进行的是客户缤纷时尚 。 编码 JR-155-V13， 名称 理疗加热膜片，尺寸宽幅1420mm，涂布工序符合工艺单要求。</w:t>
            </w:r>
          </w:p>
          <w:p>
            <w:pP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分切</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 xml:space="preserve"> 庞凯航  </w:t>
            </w:r>
            <w:r>
              <w:rPr>
                <w:rFonts w:hint="eastAsia" w:ascii="宋体" w:hAnsi="宋体" w:eastAsia="宋体" w:cs="宋体"/>
                <w:sz w:val="21"/>
                <w:szCs w:val="21"/>
                <w:u w:val="none"/>
              </w:rPr>
              <w:t>正在操作</w:t>
            </w:r>
            <w:r>
              <w:rPr>
                <w:rFonts w:hint="eastAsia" w:ascii="宋体" w:hAnsi="宋体" w:eastAsia="宋体" w:cs="宋体"/>
                <w:sz w:val="21"/>
                <w:szCs w:val="21"/>
                <w:u w:val="none"/>
                <w:lang w:val="en-US" w:eastAsia="zh-CN"/>
              </w:rPr>
              <w:t xml:space="preserve">  分切</w:t>
            </w:r>
            <w:r>
              <w:rPr>
                <w:rFonts w:hint="eastAsia" w:ascii="宋体" w:hAnsi="宋体" w:eastAsia="宋体" w:cs="宋体"/>
                <w:sz w:val="21"/>
                <w:szCs w:val="21"/>
                <w:u w:val="none"/>
              </w:rPr>
              <w:t>机，机台号</w:t>
            </w:r>
            <w:r>
              <w:rPr>
                <w:rFonts w:hint="eastAsia" w:ascii="宋体" w:hAnsi="宋体" w:eastAsia="宋体" w:cs="宋体"/>
                <w:sz w:val="21"/>
                <w:szCs w:val="21"/>
                <w:u w:val="none"/>
                <w:lang w:val="en-US" w:eastAsia="zh-CN"/>
              </w:rPr>
              <w:t xml:space="preserve">  2D-FQ-01 </w:t>
            </w:r>
            <w:r>
              <w:rPr>
                <w:rFonts w:hint="eastAsia" w:ascii="宋体" w:hAnsi="宋体" w:eastAsia="宋体" w:cs="宋体"/>
                <w:sz w:val="21"/>
                <w:szCs w:val="21"/>
                <w:u w:val="none"/>
              </w:rPr>
              <w:t>，程序已调整好，工作区域有生产单和工艺单，进行的是客户</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缤纷时尚</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编码</w:t>
            </w:r>
            <w:r>
              <w:rPr>
                <w:rFonts w:hint="eastAsia" w:ascii="宋体" w:hAnsi="宋体" w:eastAsia="宋体" w:cs="宋体"/>
                <w:sz w:val="21"/>
                <w:szCs w:val="21"/>
                <w:u w:val="none"/>
                <w:lang w:val="en-US" w:eastAsia="zh-CN"/>
              </w:rPr>
              <w:t>JR-155-V13</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名称</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理疗加热膜片</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宽幅470mm</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分切工序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老化</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 xml:space="preserve"> 蒋波  </w:t>
            </w:r>
            <w:r>
              <w:rPr>
                <w:rFonts w:hint="eastAsia" w:ascii="宋体" w:hAnsi="宋体" w:eastAsia="宋体" w:cs="宋体"/>
                <w:sz w:val="21"/>
                <w:szCs w:val="21"/>
                <w:u w:val="none"/>
              </w:rPr>
              <w:t>正在操作</w:t>
            </w:r>
            <w:r>
              <w:rPr>
                <w:rFonts w:hint="eastAsia" w:ascii="宋体" w:hAnsi="宋体" w:eastAsia="宋体" w:cs="宋体"/>
                <w:sz w:val="21"/>
                <w:szCs w:val="21"/>
                <w:u w:val="none"/>
                <w:lang w:val="en-US" w:eastAsia="zh-CN"/>
              </w:rPr>
              <w:t>精密型水平运风烤箱-1</w:t>
            </w:r>
            <w:r>
              <w:rPr>
                <w:rFonts w:hint="eastAsia" w:ascii="宋体" w:hAnsi="宋体" w:eastAsia="宋体" w:cs="宋体"/>
                <w:sz w:val="21"/>
                <w:szCs w:val="21"/>
                <w:u w:val="none"/>
              </w:rPr>
              <w:t>，机台号</w:t>
            </w:r>
            <w:r>
              <w:rPr>
                <w:rFonts w:hint="eastAsia" w:ascii="宋体" w:hAnsi="宋体" w:eastAsia="宋体" w:cs="宋体"/>
                <w:sz w:val="21"/>
                <w:szCs w:val="21"/>
                <w:u w:val="none"/>
                <w:lang w:val="en-US" w:eastAsia="zh-CN"/>
              </w:rPr>
              <w:t xml:space="preserve">  2D-KX-01 </w:t>
            </w:r>
            <w:r>
              <w:rPr>
                <w:rFonts w:hint="eastAsia" w:ascii="宋体" w:hAnsi="宋体" w:eastAsia="宋体" w:cs="宋体"/>
                <w:sz w:val="21"/>
                <w:szCs w:val="21"/>
                <w:u w:val="none"/>
              </w:rPr>
              <w:t>，程序已调整好，工作区域有生产单和工艺单，进行的是客户</w:t>
            </w:r>
            <w:r>
              <w:rPr>
                <w:rFonts w:hint="eastAsia" w:ascii="宋体" w:hAnsi="宋体" w:eastAsia="宋体" w:cs="宋体"/>
                <w:sz w:val="21"/>
                <w:szCs w:val="21"/>
                <w:u w:val="none"/>
                <w:lang w:val="en-US" w:eastAsia="zh-CN"/>
              </w:rPr>
              <w:t>缤纷时尚</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编码</w:t>
            </w:r>
            <w:r>
              <w:rPr>
                <w:rFonts w:hint="eastAsia" w:ascii="宋体" w:hAnsi="宋体" w:eastAsia="宋体" w:cs="宋体"/>
                <w:sz w:val="21"/>
                <w:szCs w:val="21"/>
                <w:u w:val="none"/>
                <w:lang w:val="en-US" w:eastAsia="zh-CN"/>
              </w:rPr>
              <w:t>JR-155-V13</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名称</w:t>
            </w:r>
            <w:r>
              <w:rPr>
                <w:rFonts w:hint="eastAsia" w:ascii="宋体" w:hAnsi="宋体" w:eastAsia="宋体" w:cs="宋体"/>
                <w:sz w:val="21"/>
                <w:szCs w:val="21"/>
                <w:u w:val="none"/>
                <w:lang w:val="en-US" w:eastAsia="zh-CN"/>
              </w:rPr>
              <w:t xml:space="preserve"> 理疗加热膜片</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老化温度120℃40min反复进行三次</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老化工序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丝印</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 xml:space="preserve">姜聪/尤寒冬  </w:t>
            </w:r>
            <w:r>
              <w:rPr>
                <w:rFonts w:hint="eastAsia" w:ascii="宋体" w:hAnsi="宋体" w:eastAsia="宋体" w:cs="宋体"/>
                <w:sz w:val="21"/>
                <w:szCs w:val="21"/>
                <w:u w:val="none"/>
              </w:rPr>
              <w:t>正在操作</w:t>
            </w:r>
            <w:r>
              <w:rPr>
                <w:rFonts w:hint="eastAsia" w:ascii="宋体" w:hAnsi="宋体" w:eastAsia="宋体" w:cs="宋体"/>
                <w:sz w:val="21"/>
                <w:szCs w:val="21"/>
                <w:u w:val="none"/>
                <w:lang w:val="en-US" w:eastAsia="zh-CN"/>
              </w:rPr>
              <w:t>全自动电热膜丝印机</w:t>
            </w:r>
            <w:r>
              <w:rPr>
                <w:rFonts w:hint="eastAsia" w:ascii="宋体" w:hAnsi="宋体" w:eastAsia="宋体" w:cs="宋体"/>
                <w:sz w:val="21"/>
                <w:szCs w:val="21"/>
                <w:u w:val="none"/>
              </w:rPr>
              <w:t>，机台号</w:t>
            </w:r>
            <w:r>
              <w:rPr>
                <w:rFonts w:hint="eastAsia" w:ascii="宋体" w:hAnsi="宋体" w:eastAsia="宋体" w:cs="宋体"/>
                <w:sz w:val="21"/>
                <w:szCs w:val="21"/>
                <w:u w:val="none"/>
                <w:lang w:val="en-US" w:eastAsia="zh-CN"/>
              </w:rPr>
              <w:t xml:space="preserve">  2D-SH-01 </w:t>
            </w:r>
            <w:r>
              <w:rPr>
                <w:rFonts w:hint="eastAsia" w:ascii="宋体" w:hAnsi="宋体" w:eastAsia="宋体" w:cs="宋体"/>
                <w:sz w:val="21"/>
                <w:szCs w:val="21"/>
                <w:u w:val="none"/>
              </w:rPr>
              <w:t>，程序已调整好，工作区域有生产单和工艺单，进行的是客户</w:t>
            </w:r>
            <w:r>
              <w:rPr>
                <w:rFonts w:hint="eastAsia" w:ascii="宋体" w:hAnsi="宋体" w:eastAsia="宋体" w:cs="宋体"/>
                <w:sz w:val="21"/>
                <w:szCs w:val="21"/>
                <w:u w:val="none"/>
                <w:lang w:val="en-US" w:eastAsia="zh-CN"/>
              </w:rPr>
              <w:t>缤纷时尚</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编码</w:t>
            </w:r>
            <w:r>
              <w:rPr>
                <w:rFonts w:hint="eastAsia" w:ascii="宋体" w:hAnsi="宋体" w:eastAsia="宋体" w:cs="宋体"/>
                <w:sz w:val="21"/>
                <w:szCs w:val="21"/>
                <w:u w:val="none"/>
                <w:lang w:val="en-US" w:eastAsia="zh-CN"/>
              </w:rPr>
              <w:t>JR-155-V13</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名称</w:t>
            </w:r>
            <w:r>
              <w:rPr>
                <w:rFonts w:hint="eastAsia" w:ascii="宋体" w:hAnsi="宋体" w:eastAsia="宋体" w:cs="宋体"/>
                <w:sz w:val="21"/>
                <w:szCs w:val="21"/>
                <w:u w:val="none"/>
                <w:lang w:val="en-US" w:eastAsia="zh-CN"/>
              </w:rPr>
              <w:t xml:space="preserve"> 理疗加热膜片</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将老化好的片子进行网版银浆丝印，丝印工序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烘烤</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 xml:space="preserve">蒋波  </w:t>
            </w:r>
            <w:r>
              <w:rPr>
                <w:rFonts w:hint="eastAsia" w:ascii="宋体" w:hAnsi="宋体" w:eastAsia="宋体" w:cs="宋体"/>
                <w:sz w:val="21"/>
                <w:szCs w:val="21"/>
                <w:u w:val="none"/>
              </w:rPr>
              <w:t>正在操作</w:t>
            </w:r>
            <w:r>
              <w:rPr>
                <w:rFonts w:hint="eastAsia" w:ascii="宋体" w:hAnsi="宋体" w:eastAsia="宋体" w:cs="宋体"/>
                <w:sz w:val="21"/>
                <w:szCs w:val="21"/>
                <w:u w:val="none"/>
                <w:lang w:val="en-US" w:eastAsia="zh-CN"/>
              </w:rPr>
              <w:t xml:space="preserve">  精密型水平运风烤箱</w:t>
            </w:r>
            <w:r>
              <w:rPr>
                <w:rFonts w:hint="eastAsia" w:ascii="宋体" w:hAnsi="宋体" w:eastAsia="宋体" w:cs="宋体"/>
                <w:sz w:val="21"/>
                <w:szCs w:val="21"/>
                <w:u w:val="none"/>
              </w:rPr>
              <w:t>，机台号</w:t>
            </w:r>
            <w:r>
              <w:rPr>
                <w:rFonts w:hint="eastAsia" w:ascii="宋体" w:hAnsi="宋体" w:eastAsia="宋体" w:cs="宋体"/>
                <w:sz w:val="21"/>
                <w:szCs w:val="21"/>
                <w:u w:val="none"/>
                <w:lang w:val="en-US" w:eastAsia="zh-CN"/>
              </w:rPr>
              <w:t xml:space="preserve">  2D-KX-02 </w:t>
            </w:r>
            <w:r>
              <w:rPr>
                <w:rFonts w:hint="eastAsia" w:ascii="宋体" w:hAnsi="宋体" w:eastAsia="宋体" w:cs="宋体"/>
                <w:sz w:val="21"/>
                <w:szCs w:val="21"/>
                <w:u w:val="none"/>
              </w:rPr>
              <w:t>，程序已调整好，工作区域有生产单和工艺单，进行的是客户</w:t>
            </w:r>
            <w:r>
              <w:rPr>
                <w:rFonts w:hint="eastAsia" w:ascii="宋体" w:hAnsi="宋体" w:eastAsia="宋体" w:cs="宋体"/>
                <w:sz w:val="21"/>
                <w:szCs w:val="21"/>
                <w:u w:val="none"/>
                <w:lang w:val="en-US" w:eastAsia="zh-CN"/>
              </w:rPr>
              <w:t>缤纷时尚</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编码</w:t>
            </w:r>
            <w:r>
              <w:rPr>
                <w:rFonts w:hint="eastAsia" w:ascii="宋体" w:hAnsi="宋体" w:eastAsia="宋体" w:cs="宋体"/>
                <w:sz w:val="21"/>
                <w:szCs w:val="21"/>
                <w:u w:val="none"/>
                <w:lang w:val="en-US" w:eastAsia="zh-CN"/>
              </w:rPr>
              <w:t>JR-155-V13</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名称</w:t>
            </w:r>
            <w:r>
              <w:rPr>
                <w:rFonts w:hint="eastAsia" w:ascii="宋体" w:hAnsi="宋体" w:eastAsia="宋体" w:cs="宋体"/>
                <w:sz w:val="21"/>
                <w:szCs w:val="21"/>
                <w:u w:val="none"/>
                <w:lang w:val="en-US" w:eastAsia="zh-CN"/>
              </w:rPr>
              <w:t xml:space="preserve"> 理疗加热膜片</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将丝印银浆的片子放入烘箱，进行银浆固化</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烘烤工序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光刻</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 xml:space="preserve">王震  </w:t>
            </w:r>
            <w:r>
              <w:rPr>
                <w:rFonts w:hint="eastAsia" w:ascii="宋体" w:hAnsi="宋体" w:eastAsia="宋体" w:cs="宋体"/>
                <w:sz w:val="21"/>
                <w:szCs w:val="21"/>
                <w:u w:val="none"/>
              </w:rPr>
              <w:t>正在操作</w:t>
            </w:r>
            <w:r>
              <w:rPr>
                <w:rFonts w:hint="eastAsia" w:ascii="宋体" w:hAnsi="宋体" w:eastAsia="宋体" w:cs="宋体"/>
                <w:sz w:val="21"/>
                <w:szCs w:val="21"/>
                <w:u w:val="none"/>
                <w:lang w:val="en-US" w:eastAsia="zh-CN"/>
              </w:rPr>
              <w:t>银浆激光刻蚀机</w:t>
            </w:r>
            <w:r>
              <w:rPr>
                <w:rFonts w:hint="eastAsia" w:ascii="宋体" w:hAnsi="宋体" w:eastAsia="宋体" w:cs="宋体"/>
                <w:sz w:val="21"/>
                <w:szCs w:val="21"/>
                <w:u w:val="none"/>
              </w:rPr>
              <w:t>，机台号</w:t>
            </w:r>
            <w:r>
              <w:rPr>
                <w:rFonts w:hint="eastAsia" w:ascii="宋体" w:hAnsi="宋体" w:eastAsia="宋体" w:cs="宋体"/>
                <w:sz w:val="21"/>
                <w:szCs w:val="21"/>
                <w:u w:val="none"/>
                <w:lang w:val="en-US" w:eastAsia="zh-CN"/>
              </w:rPr>
              <w:t xml:space="preserve">  2D-KS-02 </w:t>
            </w:r>
            <w:r>
              <w:rPr>
                <w:rFonts w:hint="eastAsia" w:ascii="宋体" w:hAnsi="宋体" w:eastAsia="宋体" w:cs="宋体"/>
                <w:sz w:val="21"/>
                <w:szCs w:val="21"/>
                <w:u w:val="none"/>
              </w:rPr>
              <w:t>，程序已调整好，工作区域有生产单和工艺单，进行的是客户</w:t>
            </w:r>
            <w:r>
              <w:rPr>
                <w:rFonts w:hint="eastAsia" w:ascii="宋体" w:hAnsi="宋体" w:eastAsia="宋体" w:cs="宋体"/>
                <w:sz w:val="21"/>
                <w:szCs w:val="21"/>
                <w:u w:val="none"/>
                <w:lang w:val="en-US" w:eastAsia="zh-CN"/>
              </w:rPr>
              <w:t>缤纷时尚</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编码</w:t>
            </w:r>
            <w:r>
              <w:rPr>
                <w:rFonts w:hint="eastAsia" w:ascii="宋体" w:hAnsi="宋体" w:eastAsia="宋体" w:cs="宋体"/>
                <w:sz w:val="21"/>
                <w:szCs w:val="21"/>
                <w:u w:val="none"/>
                <w:lang w:val="en-US" w:eastAsia="zh-CN"/>
              </w:rPr>
              <w:t>JR-155-V13</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名称</w:t>
            </w:r>
            <w:r>
              <w:rPr>
                <w:rFonts w:hint="eastAsia" w:ascii="宋体" w:hAnsi="宋体" w:eastAsia="宋体" w:cs="宋体"/>
                <w:sz w:val="21"/>
                <w:szCs w:val="21"/>
                <w:u w:val="none"/>
                <w:lang w:val="en-US" w:eastAsia="zh-CN"/>
              </w:rPr>
              <w:t>理疗加热膜片</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使用</w:t>
            </w:r>
            <w:r>
              <w:rPr>
                <w:rFonts w:hint="eastAsia" w:ascii="宋体" w:hAnsi="宋体" w:eastAsia="宋体" w:cs="宋体"/>
                <w:strike w:val="0"/>
                <w:dstrike w:val="0"/>
                <w:sz w:val="21"/>
                <w:szCs w:val="21"/>
                <w:u w:val="none"/>
                <w:lang w:val="en-US" w:eastAsia="zh-CN"/>
              </w:rPr>
              <w:t>银浆激光刻蚀机</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将周围多余的黑色固化浆料去除，光刻工序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贴电极</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 xml:space="preserve">庞凯航  </w:t>
            </w:r>
            <w:r>
              <w:rPr>
                <w:rFonts w:hint="eastAsia" w:ascii="宋体" w:hAnsi="宋体" w:eastAsia="宋体" w:cs="宋体"/>
                <w:sz w:val="21"/>
                <w:szCs w:val="21"/>
                <w:u w:val="none"/>
              </w:rPr>
              <w:t>正在</w:t>
            </w:r>
            <w:r>
              <w:rPr>
                <w:rFonts w:hint="eastAsia" w:ascii="宋体" w:hAnsi="宋体" w:eastAsia="宋体" w:cs="宋体"/>
                <w:sz w:val="21"/>
                <w:szCs w:val="21"/>
                <w:u w:val="none"/>
                <w:lang w:val="en-US" w:eastAsia="zh-CN"/>
              </w:rPr>
              <w:t>手工贴电极</w:t>
            </w:r>
            <w:r>
              <w:rPr>
                <w:rFonts w:hint="eastAsia" w:ascii="宋体" w:hAnsi="宋体" w:eastAsia="宋体" w:cs="宋体"/>
                <w:sz w:val="21"/>
                <w:szCs w:val="21"/>
                <w:u w:val="none"/>
              </w:rPr>
              <w:t>，工作区域有生产单和工艺单。</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编码</w:t>
            </w:r>
            <w:r>
              <w:rPr>
                <w:rFonts w:hint="eastAsia" w:ascii="宋体" w:hAnsi="宋体" w:eastAsia="宋体" w:cs="宋体"/>
                <w:sz w:val="21"/>
                <w:szCs w:val="21"/>
                <w:u w:val="none"/>
                <w:lang w:val="en-US" w:eastAsia="zh-CN"/>
              </w:rPr>
              <w:t>JR-155-V13</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名称</w:t>
            </w:r>
            <w:r>
              <w:rPr>
                <w:rFonts w:hint="eastAsia" w:ascii="宋体" w:hAnsi="宋体" w:eastAsia="宋体" w:cs="宋体"/>
                <w:sz w:val="21"/>
                <w:szCs w:val="21"/>
                <w:u w:val="none"/>
                <w:lang w:val="en-US" w:eastAsia="zh-CN"/>
              </w:rPr>
              <w:t xml:space="preserve"> 理疗加热膜片</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将裁切好的铜胶带覆盖在固化好的银浆上，贴电极工序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贴合正背保护膜</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 xml:space="preserve">曹文娇/张琳琳  </w:t>
            </w:r>
            <w:r>
              <w:rPr>
                <w:rFonts w:hint="eastAsia" w:ascii="宋体" w:hAnsi="宋体" w:eastAsia="宋体" w:cs="宋体"/>
                <w:sz w:val="21"/>
                <w:szCs w:val="21"/>
                <w:u w:val="none"/>
              </w:rPr>
              <w:t>正在操作</w:t>
            </w:r>
            <w:r>
              <w:rPr>
                <w:rFonts w:hint="eastAsia" w:ascii="宋体" w:hAnsi="宋体" w:eastAsia="宋体" w:cs="宋体"/>
                <w:sz w:val="21"/>
                <w:szCs w:val="21"/>
                <w:u w:val="none"/>
                <w:lang w:val="en-US" w:eastAsia="zh-CN"/>
              </w:rPr>
              <w:t xml:space="preserve">  覆膜机</w:t>
            </w:r>
            <w:r>
              <w:rPr>
                <w:rFonts w:hint="eastAsia" w:ascii="宋体" w:hAnsi="宋体" w:eastAsia="宋体" w:cs="宋体"/>
                <w:sz w:val="21"/>
                <w:szCs w:val="21"/>
                <w:u w:val="none"/>
              </w:rPr>
              <w:t>机，机台号</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2D-FM-01</w:t>
            </w:r>
            <w:r>
              <w:rPr>
                <w:rFonts w:hint="eastAsia" w:ascii="宋体" w:hAnsi="宋体" w:eastAsia="宋体" w:cs="宋体"/>
                <w:sz w:val="21"/>
                <w:szCs w:val="21"/>
                <w:u w:val="none"/>
              </w:rPr>
              <w:t>，工作区域有生产单和工艺单</w:t>
            </w:r>
            <w:r>
              <w:rPr>
                <w:rFonts w:hint="eastAsia" w:ascii="宋体" w:hAnsi="宋体" w:cs="宋体"/>
                <w:sz w:val="21"/>
                <w:szCs w:val="21"/>
                <w:u w:val="none"/>
                <w:lang w:eastAsia="zh-CN"/>
              </w:rPr>
              <w:t>，</w:t>
            </w:r>
            <w:r>
              <w:rPr>
                <w:rFonts w:hint="eastAsia" w:ascii="宋体" w:hAnsi="宋体" w:eastAsia="宋体" w:cs="宋体"/>
                <w:sz w:val="21"/>
                <w:szCs w:val="21"/>
                <w:u w:val="none"/>
              </w:rPr>
              <w:t>编码</w:t>
            </w:r>
            <w:r>
              <w:rPr>
                <w:rFonts w:hint="eastAsia" w:ascii="宋体" w:hAnsi="宋体" w:eastAsia="宋体" w:cs="宋体"/>
                <w:sz w:val="21"/>
                <w:szCs w:val="21"/>
                <w:u w:val="none"/>
                <w:lang w:val="en-US" w:eastAsia="zh-CN"/>
              </w:rPr>
              <w:t>JR-155-V13</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名称</w:t>
            </w:r>
            <w:r>
              <w:rPr>
                <w:rFonts w:hint="eastAsia" w:ascii="宋体" w:hAnsi="宋体" w:eastAsia="宋体" w:cs="宋体"/>
                <w:sz w:val="21"/>
                <w:szCs w:val="21"/>
                <w:u w:val="none"/>
                <w:lang w:val="en-US" w:eastAsia="zh-CN"/>
              </w:rPr>
              <w:t xml:space="preserve"> 理疗加热膜片</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使用覆膜</w:t>
            </w:r>
            <w:r>
              <w:rPr>
                <w:rFonts w:hint="eastAsia" w:ascii="宋体" w:hAnsi="宋体" w:eastAsia="宋体" w:cs="宋体"/>
                <w:strike w:val="0"/>
                <w:dstrike w:val="0"/>
                <w:sz w:val="21"/>
                <w:szCs w:val="21"/>
                <w:u w:val="none"/>
                <w:lang w:val="en-US" w:eastAsia="zh-CN"/>
              </w:rPr>
              <w:t>机</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将原材料膜贴合在贴完电极的片子上，形成正反面符合检验标准的绝缘层，贴合工序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激光切割工序：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张鑫峰</w:t>
            </w:r>
            <w:r>
              <w:rPr>
                <w:rFonts w:hint="eastAsia" w:ascii="宋体" w:hAnsi="宋体" w:eastAsia="宋体" w:cs="宋体"/>
                <w:sz w:val="21"/>
                <w:szCs w:val="21"/>
                <w:u w:val="none"/>
              </w:rPr>
              <w:t>正在操作</w:t>
            </w:r>
            <w:r>
              <w:rPr>
                <w:rFonts w:hint="eastAsia" w:ascii="宋体" w:hAnsi="宋体" w:eastAsia="宋体" w:cs="宋体"/>
                <w:sz w:val="21"/>
                <w:szCs w:val="21"/>
                <w:u w:val="none"/>
                <w:lang w:val="en-US" w:eastAsia="zh-CN"/>
              </w:rPr>
              <w:t>镭射切割雕刻机</w:t>
            </w:r>
            <w:r>
              <w:rPr>
                <w:rFonts w:hint="eastAsia" w:ascii="宋体" w:hAnsi="宋体" w:eastAsia="宋体" w:cs="宋体"/>
                <w:sz w:val="21"/>
                <w:szCs w:val="21"/>
                <w:u w:val="none"/>
              </w:rPr>
              <w:t>，机台号</w:t>
            </w:r>
            <w:r>
              <w:rPr>
                <w:rFonts w:hint="eastAsia" w:ascii="宋体" w:hAnsi="宋体" w:eastAsia="宋体" w:cs="宋体"/>
                <w:sz w:val="21"/>
                <w:szCs w:val="21"/>
                <w:u w:val="none"/>
                <w:lang w:val="en-US" w:eastAsia="zh-CN"/>
              </w:rPr>
              <w:t xml:space="preserve">2D-DK-01 </w:t>
            </w:r>
            <w:r>
              <w:rPr>
                <w:rFonts w:hint="eastAsia" w:ascii="宋体" w:hAnsi="宋体" w:eastAsia="宋体" w:cs="宋体"/>
                <w:sz w:val="21"/>
                <w:szCs w:val="21"/>
                <w:u w:val="none"/>
              </w:rPr>
              <w:t>，编码</w:t>
            </w:r>
            <w:r>
              <w:rPr>
                <w:rFonts w:hint="eastAsia" w:ascii="宋体" w:hAnsi="宋体" w:eastAsia="宋体" w:cs="宋体"/>
                <w:sz w:val="21"/>
                <w:szCs w:val="21"/>
                <w:u w:val="none"/>
                <w:lang w:val="en-US" w:eastAsia="zh-CN"/>
              </w:rPr>
              <w:t>JR-155-V13</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名称</w:t>
            </w:r>
            <w:r>
              <w:rPr>
                <w:rFonts w:hint="eastAsia" w:ascii="宋体" w:hAnsi="宋体" w:eastAsia="宋体" w:cs="宋体"/>
                <w:sz w:val="21"/>
                <w:szCs w:val="21"/>
                <w:u w:val="none"/>
                <w:lang w:val="en-US" w:eastAsia="zh-CN"/>
              </w:rPr>
              <w:t xml:space="preserve"> 理疗加热膜片</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尺寸80*193±0.5mm，激光切割工序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冲孔</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 xml:space="preserve">黄枫评  </w:t>
            </w:r>
            <w:r>
              <w:rPr>
                <w:rFonts w:hint="eastAsia" w:ascii="宋体" w:hAnsi="宋体" w:eastAsia="宋体" w:cs="宋体"/>
                <w:sz w:val="21"/>
                <w:szCs w:val="21"/>
                <w:u w:val="none"/>
              </w:rPr>
              <w:t>正在操作</w:t>
            </w:r>
            <w:r>
              <w:rPr>
                <w:rFonts w:hint="eastAsia" w:ascii="宋体" w:hAnsi="宋体" w:eastAsia="宋体" w:cs="宋体"/>
                <w:sz w:val="21"/>
                <w:szCs w:val="21"/>
                <w:u w:val="none"/>
                <w:lang w:val="en-US" w:eastAsia="zh-CN"/>
              </w:rPr>
              <w:t>自动冲孔机</w:t>
            </w:r>
            <w:r>
              <w:rPr>
                <w:rFonts w:hint="eastAsia" w:ascii="宋体" w:hAnsi="宋体" w:eastAsia="宋体" w:cs="宋体"/>
                <w:sz w:val="21"/>
                <w:szCs w:val="21"/>
                <w:u w:val="none"/>
              </w:rPr>
              <w:t>，机台号</w:t>
            </w:r>
            <w:r>
              <w:rPr>
                <w:rFonts w:hint="eastAsia" w:ascii="宋体" w:hAnsi="宋体" w:eastAsia="宋体" w:cs="宋体"/>
                <w:sz w:val="21"/>
                <w:szCs w:val="21"/>
                <w:u w:val="none"/>
                <w:lang w:val="en-US" w:eastAsia="zh-CN"/>
              </w:rPr>
              <w:t xml:space="preserve">  2D-CK-02 </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编码</w:t>
            </w:r>
            <w:r>
              <w:rPr>
                <w:rFonts w:hint="eastAsia" w:ascii="宋体" w:hAnsi="宋体" w:eastAsia="宋体" w:cs="宋体"/>
                <w:sz w:val="21"/>
                <w:szCs w:val="21"/>
                <w:u w:val="none"/>
                <w:lang w:val="en-US" w:eastAsia="zh-CN"/>
              </w:rPr>
              <w:t>JR-155-V13</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名称</w:t>
            </w:r>
            <w:r>
              <w:rPr>
                <w:rFonts w:hint="eastAsia" w:ascii="宋体" w:hAnsi="宋体" w:eastAsia="宋体" w:cs="宋体"/>
                <w:sz w:val="21"/>
                <w:szCs w:val="21"/>
                <w:u w:val="none"/>
                <w:lang w:val="en-US" w:eastAsia="zh-CN"/>
              </w:rPr>
              <w:t>理疗加热膜片</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使用冲孔机</w:t>
            </w:r>
            <w:r>
              <w:rPr>
                <w:rFonts w:hint="eastAsia" w:ascii="宋体" w:hAnsi="宋体" w:eastAsia="宋体" w:cs="宋体"/>
                <w:strike w:val="0"/>
                <w:dstrike w:val="0"/>
                <w:sz w:val="21"/>
                <w:szCs w:val="21"/>
                <w:u w:val="none"/>
                <w:lang w:val="en-US" w:eastAsia="zh-CN"/>
              </w:rPr>
              <w:t xml:space="preserve"> </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将贴合完的片子进行两次φ2.5电极冲孔，以便后续接线，冲孔工序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铆接导线</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 xml:space="preserve">汪小淋 </w:t>
            </w:r>
            <w:r>
              <w:rPr>
                <w:rFonts w:hint="eastAsia" w:ascii="宋体" w:hAnsi="宋体" w:eastAsia="宋体" w:cs="宋体"/>
                <w:sz w:val="21"/>
                <w:szCs w:val="21"/>
                <w:u w:val="none"/>
              </w:rPr>
              <w:t>正在操作</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w:t>
            </w:r>
            <w:r>
              <w:rPr>
                <w:rFonts w:hint="eastAsia" w:ascii="宋体" w:hAnsi="宋体" w:eastAsia="宋体" w:cs="宋体"/>
                <w:sz w:val="21"/>
                <w:szCs w:val="21"/>
                <w:u w:val="none"/>
              </w:rPr>
              <w:t>机台号</w:t>
            </w:r>
            <w:r>
              <w:rPr>
                <w:rFonts w:hint="eastAsia" w:ascii="宋体" w:hAnsi="宋体" w:eastAsia="宋体" w:cs="宋体"/>
                <w:sz w:val="21"/>
                <w:szCs w:val="21"/>
                <w:u w:val="none"/>
                <w:lang w:val="en-US" w:eastAsia="zh-CN"/>
              </w:rPr>
              <w:t xml:space="preserve">2D-JY-01 </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将冲完孔的片子正负极接上红黑两根5cm的24#硅胶导线</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铆接工序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端子绝缘</w:t>
            </w:r>
            <w:r>
              <w:rPr>
                <w:rFonts w:hint="eastAsia" w:ascii="宋体" w:hAnsi="宋体" w:eastAsia="宋体" w:cs="宋体"/>
                <w:sz w:val="21"/>
                <w:szCs w:val="21"/>
                <w:u w:val="none"/>
                <w:lang w:val="en-US" w:eastAsia="zh-CN"/>
              </w:rPr>
              <w:t>工序：</w:t>
            </w:r>
            <w:r>
              <w:rPr>
                <w:rFonts w:hint="eastAsia" w:ascii="宋体" w:hAnsi="宋体" w:eastAsia="宋体" w:cs="宋体"/>
                <w:sz w:val="21"/>
                <w:szCs w:val="21"/>
                <w:u w:val="none"/>
              </w:rPr>
              <w:t>操作工</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蒋波</w:t>
            </w:r>
            <w:r>
              <w:rPr>
                <w:rFonts w:hint="eastAsia" w:ascii="宋体" w:hAnsi="宋体" w:eastAsia="宋体" w:cs="宋体"/>
                <w:sz w:val="21"/>
                <w:szCs w:val="21"/>
                <w:u w:val="none"/>
              </w:rPr>
              <w:t>正在</w:t>
            </w:r>
            <w:r>
              <w:rPr>
                <w:rFonts w:hint="eastAsia" w:ascii="宋体" w:hAnsi="宋体" w:eastAsia="宋体" w:cs="宋体"/>
                <w:sz w:val="21"/>
                <w:szCs w:val="21"/>
                <w:u w:val="none"/>
                <w:lang w:val="en-US" w:eastAsia="zh-CN"/>
              </w:rPr>
              <w:t>进行手工端子绝缘保护</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将裁切好的原材料覆盖在正负极端子上，进行隔绝作用，端子绝缘工序</w:t>
            </w:r>
            <w:r>
              <w:rPr>
                <w:rFonts w:hint="eastAsia" w:ascii="宋体" w:hAnsi="宋体" w:eastAsia="宋体" w:cs="宋体"/>
                <w:sz w:val="21"/>
                <w:szCs w:val="21"/>
                <w:u w:val="none"/>
              </w:rPr>
              <w:t>符合工艺单要求。</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功能测试</w:t>
            </w:r>
            <w:r>
              <w:rPr>
                <w:rFonts w:hint="eastAsia" w:ascii="宋体" w:hAnsi="宋体" w:eastAsia="宋体" w:cs="宋体"/>
                <w:sz w:val="21"/>
                <w:szCs w:val="21"/>
                <w:u w:val="none"/>
                <w:lang w:val="en-US" w:eastAsia="zh-CN"/>
              </w:rPr>
              <w:t>工序</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马玲</w:t>
            </w:r>
            <w:r>
              <w:rPr>
                <w:rFonts w:hint="eastAsia" w:ascii="宋体" w:hAnsi="宋体" w:eastAsia="宋体" w:cs="宋体"/>
                <w:sz w:val="21"/>
                <w:szCs w:val="21"/>
                <w:u w:val="none"/>
              </w:rPr>
              <w:t>正在</w:t>
            </w:r>
            <w:r>
              <w:rPr>
                <w:rFonts w:hint="eastAsia" w:ascii="宋体" w:hAnsi="宋体" w:eastAsia="宋体" w:cs="宋体"/>
                <w:sz w:val="21"/>
                <w:szCs w:val="21"/>
                <w:u w:val="none"/>
                <w:lang w:val="en-US" w:eastAsia="zh-CN"/>
              </w:rPr>
              <w:t>进行功能测试</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根据标准，将每一片加热膜进行通电测试，挑选电流为1.26-1.54A的加热膜片，功能测试工序</w:t>
            </w:r>
            <w:r>
              <w:rPr>
                <w:rFonts w:hint="eastAsia" w:ascii="宋体" w:hAnsi="宋体" w:eastAsia="宋体" w:cs="宋体"/>
                <w:sz w:val="21"/>
                <w:szCs w:val="21"/>
                <w:u w:val="none"/>
              </w:rPr>
              <w:t>符合工艺单要求</w:t>
            </w:r>
            <w:r>
              <w:rPr>
                <w:rFonts w:hint="eastAsia" w:ascii="宋体" w:hAnsi="宋体" w:cs="宋体"/>
                <w:sz w:val="21"/>
                <w:szCs w:val="21"/>
                <w:u w:val="none"/>
                <w:lang w:eastAsia="zh-CN"/>
              </w:rPr>
              <w:t>；</w:t>
            </w:r>
            <w:r>
              <w:rPr>
                <w:rFonts w:hint="eastAsia" w:ascii="宋体" w:hAnsi="宋体" w:eastAsia="宋体" w:cs="宋体"/>
                <w:sz w:val="21"/>
                <w:szCs w:val="21"/>
                <w:u w:val="none"/>
              </w:rPr>
              <w:t>外观检验</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观察外观有无气泡、破损等缺陷，外观检验工序</w:t>
            </w:r>
            <w:r>
              <w:rPr>
                <w:rFonts w:hint="eastAsia" w:ascii="宋体" w:hAnsi="宋体" w:eastAsia="宋体" w:cs="宋体"/>
                <w:sz w:val="21"/>
                <w:szCs w:val="21"/>
                <w:u w:val="none"/>
              </w:rPr>
              <w:t>符合工艺单要求。</w:t>
            </w:r>
          </w:p>
          <w:p>
            <w:pPr>
              <w:spacing w:line="360" w:lineRule="auto"/>
              <w:rPr>
                <w:rFonts w:hint="eastAsia" w:ascii="楷体" w:hAnsi="楷体" w:eastAsia="楷体"/>
                <w:sz w:val="24"/>
                <w:szCs w:val="24"/>
                <w:lang w:eastAsia="zh-CN"/>
              </w:rPr>
            </w:pPr>
            <w:r>
              <w:rPr>
                <w:rFonts w:hint="eastAsia" w:ascii="宋体" w:hAnsi="宋体" w:eastAsia="宋体" w:cs="宋体"/>
                <w:sz w:val="21"/>
                <w:szCs w:val="21"/>
                <w:u w:val="none"/>
              </w:rPr>
              <w:t xml:space="preserve">以上工序操作均符合操作文件要求。 </w:t>
            </w:r>
          </w:p>
          <w:p>
            <w:pPr>
              <w:spacing w:line="360" w:lineRule="auto"/>
              <w:rPr>
                <w:rFonts w:hint="eastAsia" w:ascii="宋体" w:hAnsi="宋体" w:eastAsia="宋体" w:cs="宋体"/>
                <w:sz w:val="21"/>
                <w:szCs w:val="21"/>
              </w:rPr>
            </w:pPr>
            <w:r>
              <w:rPr>
                <w:rFonts w:hint="eastAsia" w:ascii="宋体" w:hAnsi="宋体" w:eastAsia="宋体" w:cs="宋体"/>
                <w:sz w:val="21"/>
                <w:szCs w:val="21"/>
              </w:rPr>
              <w:t>查到日产统计报表，记录基本清晰完整。</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r>
              <w:rPr>
                <w:rFonts w:hint="eastAsia" w:ascii="楷体" w:hAnsi="楷体" w:eastAsia="楷体"/>
                <w:sz w:val="24"/>
                <w:szCs w:val="24"/>
                <w:lang w:eastAsia="zh-CN"/>
              </w:rPr>
              <w:drawing>
                <wp:anchor distT="0" distB="0" distL="114300" distR="114300" simplePos="0" relativeHeight="251663360" behindDoc="0" locked="0" layoutInCell="1" allowOverlap="1">
                  <wp:simplePos x="0" y="0"/>
                  <wp:positionH relativeFrom="column">
                    <wp:posOffset>220980</wp:posOffset>
                  </wp:positionH>
                  <wp:positionV relativeFrom="paragraph">
                    <wp:posOffset>148590</wp:posOffset>
                  </wp:positionV>
                  <wp:extent cx="5620385" cy="2513330"/>
                  <wp:effectExtent l="0" t="0" r="3175" b="1270"/>
                  <wp:wrapNone/>
                  <wp:docPr id="13" name="图片 13" descr="5e539a2d51e8a36d774266c01ab5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e539a2d51e8a36d774266c01ab54b2"/>
                          <pic:cNvPicPr>
                            <a:picLocks noChangeAspect="1"/>
                          </pic:cNvPicPr>
                        </pic:nvPicPr>
                        <pic:blipFill>
                          <a:blip r:embed="rId8"/>
                          <a:stretch>
                            <a:fillRect/>
                          </a:stretch>
                        </pic:blipFill>
                        <pic:spPr>
                          <a:xfrm>
                            <a:off x="0" y="0"/>
                            <a:ext cx="5620385" cy="2513330"/>
                          </a:xfrm>
                          <a:prstGeom prst="rect">
                            <a:avLst/>
                          </a:prstGeom>
                        </pic:spPr>
                      </pic:pic>
                    </a:graphicData>
                  </a:graphic>
                </wp:anchor>
              </w:drawing>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3295650" cy="4186555"/>
                  <wp:effectExtent l="0" t="0" r="6350" b="4445"/>
                  <wp:docPr id="14" name="图片 14" descr="51737c695dce5b811d000f65596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1737c695dce5b811d000f655969065"/>
                          <pic:cNvPicPr>
                            <a:picLocks noChangeAspect="1"/>
                          </pic:cNvPicPr>
                        </pic:nvPicPr>
                        <pic:blipFill>
                          <a:blip r:embed="rId9"/>
                          <a:srcRect l="4726" t="2254" r="9498" b="3862"/>
                          <a:stretch>
                            <a:fillRect/>
                          </a:stretch>
                        </pic:blipFill>
                        <pic:spPr>
                          <a:xfrm>
                            <a:off x="0" y="0"/>
                            <a:ext cx="3295650" cy="4186555"/>
                          </a:xfrm>
                          <a:prstGeom prst="rect">
                            <a:avLst/>
                          </a:prstGeom>
                        </pic:spPr>
                      </pic:pic>
                    </a:graphicData>
                  </a:graphic>
                </wp:inline>
              </w:drawing>
            </w:r>
          </w:p>
          <w:p>
            <w:pPr>
              <w:spacing w:line="360" w:lineRule="auto"/>
              <w:rPr>
                <w:rFonts w:hint="eastAsia" w:ascii="楷体" w:hAnsi="楷体" w:eastAsia="楷体"/>
                <w:sz w:val="24"/>
                <w:szCs w:val="24"/>
              </w:rPr>
            </w:pPr>
            <w:r>
              <w:rPr>
                <w:rFonts w:hint="eastAsia" w:ascii="楷体" w:hAnsi="楷体" w:eastAsia="楷体"/>
                <w:sz w:val="24"/>
                <w:szCs w:val="24"/>
              </w:rPr>
              <w:t>提供</w:t>
            </w:r>
            <w:r>
              <w:rPr>
                <w:rFonts w:hint="eastAsia" w:ascii="楷体" w:hAnsi="楷体" w:eastAsia="楷体"/>
                <w:sz w:val="24"/>
                <w:szCs w:val="24"/>
                <w:lang w:val="en-US" w:eastAsia="zh-CN"/>
              </w:rPr>
              <w:t>，</w:t>
            </w:r>
            <w:r>
              <w:rPr>
                <w:rFonts w:hint="eastAsia" w:ascii="楷体" w:hAnsi="楷体" w:eastAsia="楷体"/>
                <w:sz w:val="24"/>
                <w:szCs w:val="24"/>
                <w:u w:val="none"/>
                <w:lang w:val="en-US" w:eastAsia="zh-CN"/>
              </w:rPr>
              <w:t>工序</w:t>
            </w:r>
            <w:r>
              <w:rPr>
                <w:rFonts w:hint="eastAsia" w:ascii="楷体" w:hAnsi="楷体" w:eastAsia="楷体"/>
                <w:sz w:val="24"/>
                <w:szCs w:val="24"/>
              </w:rPr>
              <w:t>记录，记录基本清晰完整。</w:t>
            </w:r>
          </w:p>
          <w:p>
            <w:pPr>
              <w:spacing w:line="360" w:lineRule="auto"/>
              <w:rPr>
                <w:rFonts w:hint="eastAsia" w:ascii="楷体" w:hAnsi="楷体" w:eastAsia="楷体"/>
                <w:sz w:val="24"/>
                <w:szCs w:val="24"/>
                <w:lang w:eastAsia="zh-CN"/>
              </w:rPr>
            </w:pPr>
          </w:p>
          <w:p>
            <w:pPr>
              <w:pStyle w:val="2"/>
              <w:rPr>
                <w:rFonts w:hint="eastAsia" w:ascii="楷体" w:hAnsi="楷体" w:eastAsia="楷体"/>
                <w:sz w:val="24"/>
                <w:szCs w:val="24"/>
                <w:lang w:eastAsia="zh-CN"/>
              </w:rPr>
            </w:pPr>
          </w:p>
          <w:p>
            <w:pPr>
              <w:pStyle w:val="2"/>
              <w:rPr>
                <w:rFonts w:hint="eastAsia" w:ascii="楷体" w:hAnsi="楷体" w:eastAsia="楷体"/>
                <w:sz w:val="24"/>
                <w:szCs w:val="24"/>
                <w:lang w:eastAsia="zh-CN"/>
              </w:rPr>
            </w:pPr>
          </w:p>
          <w:p>
            <w:pPr>
              <w:spacing w:line="360" w:lineRule="auto"/>
              <w:ind w:firstLine="240" w:firstLineChars="100"/>
              <w:rPr>
                <w:rFonts w:hint="eastAsia" w:ascii="楷体" w:hAnsi="楷体" w:eastAsia="楷体"/>
                <w:sz w:val="24"/>
                <w:szCs w:val="24"/>
              </w:rPr>
            </w:pPr>
            <w:r>
              <w:rPr>
                <w:rFonts w:hint="eastAsia" w:ascii="楷体" w:hAnsi="楷体" w:eastAsia="楷体"/>
                <w:sz w:val="24"/>
                <w:szCs w:val="24"/>
                <w:lang w:eastAsia="zh-CN"/>
              </w:rPr>
              <w:drawing>
                <wp:anchor distT="0" distB="0" distL="114300" distR="114300" simplePos="0" relativeHeight="251662336" behindDoc="0" locked="0" layoutInCell="1" allowOverlap="1">
                  <wp:simplePos x="0" y="0"/>
                  <wp:positionH relativeFrom="column">
                    <wp:posOffset>19050</wp:posOffset>
                  </wp:positionH>
                  <wp:positionV relativeFrom="paragraph">
                    <wp:posOffset>-75565</wp:posOffset>
                  </wp:positionV>
                  <wp:extent cx="2749550" cy="2972435"/>
                  <wp:effectExtent l="0" t="0" r="12065" b="6350"/>
                  <wp:wrapNone/>
                  <wp:docPr id="11" name="图片 11" descr="6779ff36843263d1f912a75b2fbab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779ff36843263d1f912a75b2fbabef"/>
                          <pic:cNvPicPr>
                            <a:picLocks noChangeAspect="1"/>
                          </pic:cNvPicPr>
                        </pic:nvPicPr>
                        <pic:blipFill>
                          <a:blip r:embed="rId10"/>
                          <a:srcRect l="10584" t="5302" r="5200" b="2959"/>
                          <a:stretch>
                            <a:fillRect/>
                          </a:stretch>
                        </pic:blipFill>
                        <pic:spPr>
                          <a:xfrm rot="16200000">
                            <a:off x="0" y="0"/>
                            <a:ext cx="2749550" cy="2972435"/>
                          </a:xfrm>
                          <a:prstGeom prst="rect">
                            <a:avLst/>
                          </a:prstGeom>
                        </pic:spPr>
                      </pic:pic>
                    </a:graphicData>
                  </a:graphic>
                </wp:anchor>
              </w:drawing>
            </w:r>
            <w:r>
              <w:rPr>
                <w:rFonts w:hint="eastAsia" w:ascii="楷体" w:hAnsi="楷体" w:eastAsia="楷体"/>
                <w:sz w:val="24"/>
                <w:szCs w:val="24"/>
                <w:lang w:eastAsia="zh-CN"/>
              </w:rPr>
              <w:drawing>
                <wp:anchor distT="0" distB="0" distL="114300" distR="114300" simplePos="0" relativeHeight="251661312" behindDoc="0" locked="0" layoutInCell="1" allowOverlap="1">
                  <wp:simplePos x="0" y="0"/>
                  <wp:positionH relativeFrom="column">
                    <wp:posOffset>3237230</wp:posOffset>
                  </wp:positionH>
                  <wp:positionV relativeFrom="paragraph">
                    <wp:posOffset>-254000</wp:posOffset>
                  </wp:positionV>
                  <wp:extent cx="2755900" cy="3277870"/>
                  <wp:effectExtent l="0" t="0" r="11430" b="0"/>
                  <wp:wrapNone/>
                  <wp:docPr id="10" name="图片 10" descr="fb00eaecff07e8919183be9a53bf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b00eaecff07e8919183be9a53bfdd2"/>
                          <pic:cNvPicPr>
                            <a:picLocks noChangeAspect="1"/>
                          </pic:cNvPicPr>
                        </pic:nvPicPr>
                        <pic:blipFill>
                          <a:blip r:embed="rId11"/>
                          <a:srcRect l="3362" t="4161" r="7219" b="3764"/>
                          <a:stretch>
                            <a:fillRect/>
                          </a:stretch>
                        </pic:blipFill>
                        <pic:spPr>
                          <a:xfrm rot="16200000">
                            <a:off x="0" y="0"/>
                            <a:ext cx="2755900" cy="3277870"/>
                          </a:xfrm>
                          <a:prstGeom prst="rect">
                            <a:avLst/>
                          </a:prstGeom>
                        </pic:spPr>
                      </pic:pic>
                    </a:graphicData>
                  </a:graphic>
                </wp:anchor>
              </w:drawing>
            </w:r>
          </w:p>
          <w:p>
            <w:pPr>
              <w:spacing w:line="360" w:lineRule="auto"/>
              <w:ind w:firstLine="240" w:firstLineChars="100"/>
              <w:rPr>
                <w:rFonts w:hint="eastAsia" w:ascii="楷体" w:hAnsi="楷体" w:eastAsia="楷体"/>
                <w:sz w:val="24"/>
                <w:szCs w:val="24"/>
              </w:rPr>
            </w:pPr>
          </w:p>
          <w:p>
            <w:pPr>
              <w:spacing w:line="360" w:lineRule="auto"/>
              <w:ind w:firstLine="240" w:firstLineChars="100"/>
              <w:rPr>
                <w:rFonts w:hint="eastAsia" w:ascii="楷体" w:hAnsi="楷体" w:eastAsia="楷体"/>
                <w:sz w:val="24"/>
                <w:szCs w:val="24"/>
              </w:rPr>
            </w:pPr>
          </w:p>
          <w:p>
            <w:pPr>
              <w:pStyle w:val="2"/>
              <w:rPr>
                <w:rFonts w:hint="eastAsia" w:ascii="楷体" w:hAnsi="楷体" w:eastAsia="楷体"/>
                <w:sz w:val="24"/>
                <w:szCs w:val="24"/>
              </w:rPr>
            </w:pPr>
          </w:p>
          <w:p>
            <w:pPr>
              <w:pStyle w:val="2"/>
              <w:rPr>
                <w:rFonts w:hint="eastAsia" w:ascii="楷体" w:hAnsi="楷体" w:eastAsia="楷体"/>
                <w:sz w:val="24"/>
                <w:szCs w:val="24"/>
              </w:rPr>
            </w:pPr>
          </w:p>
          <w:p>
            <w:pPr>
              <w:pStyle w:val="2"/>
              <w:rPr>
                <w:rFonts w:hint="eastAsia" w:ascii="楷体" w:hAnsi="楷体" w:eastAsia="楷体"/>
                <w:sz w:val="24"/>
                <w:szCs w:val="24"/>
              </w:rPr>
            </w:pPr>
          </w:p>
          <w:p>
            <w:pPr>
              <w:pStyle w:val="2"/>
              <w:rPr>
                <w:rFonts w:hint="eastAsia" w:ascii="楷体" w:hAnsi="楷体" w:eastAsia="楷体"/>
                <w:sz w:val="24"/>
                <w:szCs w:val="24"/>
              </w:rPr>
            </w:pPr>
          </w:p>
          <w:p>
            <w:pPr>
              <w:pStyle w:val="2"/>
              <w:rPr>
                <w:rFonts w:hint="eastAsia" w:ascii="楷体" w:hAnsi="楷体" w:eastAsia="楷体"/>
                <w:sz w:val="24"/>
                <w:szCs w:val="24"/>
              </w:rPr>
            </w:pPr>
          </w:p>
          <w:p>
            <w:pPr>
              <w:pStyle w:val="2"/>
              <w:rPr>
                <w:rFonts w:hint="eastAsia" w:ascii="楷体" w:hAnsi="楷体" w:eastAsia="楷体"/>
                <w:sz w:val="24"/>
                <w:szCs w:val="24"/>
              </w:rPr>
            </w:pPr>
          </w:p>
          <w:p>
            <w:pPr>
              <w:pStyle w:val="2"/>
              <w:rPr>
                <w:rFonts w:hint="eastAsia" w:ascii="楷体" w:hAnsi="楷体" w:eastAsia="楷体"/>
                <w:sz w:val="24"/>
                <w:szCs w:val="24"/>
              </w:rPr>
            </w:pPr>
          </w:p>
          <w:p>
            <w:pPr>
              <w:pStyle w:val="2"/>
              <w:rPr>
                <w:rFonts w:hint="eastAsia" w:ascii="楷体" w:hAnsi="楷体" w:eastAsia="楷体"/>
                <w:sz w:val="24"/>
                <w:szCs w:val="24"/>
              </w:rPr>
            </w:pPr>
          </w:p>
          <w:p>
            <w:pPr>
              <w:pStyle w:val="2"/>
              <w:rPr>
                <w:rFonts w:hint="eastAsia" w:ascii="楷体" w:hAnsi="楷体" w:eastAsia="楷体"/>
                <w:sz w:val="24"/>
                <w:szCs w:val="24"/>
              </w:rPr>
            </w:pPr>
          </w:p>
          <w:p>
            <w:pPr>
              <w:pStyle w:val="2"/>
              <w:jc w:val="both"/>
              <w:rPr>
                <w:rFonts w:hint="eastAsia" w:ascii="楷体" w:hAnsi="楷体" w:eastAsia="楷体"/>
                <w:sz w:val="24"/>
                <w:szCs w:val="24"/>
              </w:rPr>
            </w:pPr>
          </w:p>
          <w:p>
            <w:pPr>
              <w:spacing w:line="360" w:lineRule="auto"/>
              <w:rPr>
                <w:rFonts w:hint="eastAsia" w:ascii="楷体" w:hAnsi="楷体" w:eastAsia="楷体"/>
                <w:sz w:val="24"/>
                <w:szCs w:val="24"/>
              </w:rPr>
            </w:pPr>
            <w:r>
              <w:rPr>
                <w:rFonts w:hint="eastAsia" w:ascii="楷体" w:hAnsi="楷体" w:eastAsia="楷体"/>
                <w:sz w:val="24"/>
                <w:szCs w:val="24"/>
              </w:rPr>
              <w:t>提供</w:t>
            </w:r>
            <w:r>
              <w:rPr>
                <w:rFonts w:hint="eastAsia" w:ascii="楷体" w:hAnsi="楷体" w:eastAsia="楷体"/>
                <w:sz w:val="24"/>
                <w:szCs w:val="24"/>
                <w:lang w:val="en-US" w:eastAsia="zh-CN"/>
              </w:rPr>
              <w:t>3</w:t>
            </w:r>
            <w:r>
              <w:rPr>
                <w:rFonts w:hint="eastAsia" w:ascii="楷体" w:hAnsi="楷体" w:eastAsia="楷体"/>
                <w:sz w:val="24"/>
                <w:szCs w:val="24"/>
              </w:rPr>
              <w:t>监测记录表，记录基本清晰完整。</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eastAsia="zh-CN"/>
              </w:rPr>
              <w:drawing>
                <wp:inline distT="0" distB="0" distL="114300" distR="114300">
                  <wp:extent cx="3392170" cy="3943350"/>
                  <wp:effectExtent l="0" t="0" r="11430" b="6350"/>
                  <wp:docPr id="12" name="图片 12" descr="ea6fdfdf967d97d8fb2c9419efca5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a6fdfdf967d97d8fb2c9419efca5dc"/>
                          <pic:cNvPicPr>
                            <a:picLocks noChangeAspect="1"/>
                          </pic:cNvPicPr>
                        </pic:nvPicPr>
                        <pic:blipFill>
                          <a:blip r:embed="rId12"/>
                          <a:srcRect l="9177" t="4454" r="9116" b="4263"/>
                          <a:stretch>
                            <a:fillRect/>
                          </a:stretch>
                        </pic:blipFill>
                        <pic:spPr>
                          <a:xfrm>
                            <a:off x="0" y="0"/>
                            <a:ext cx="3392170" cy="3943350"/>
                          </a:xfrm>
                          <a:prstGeom prst="rect">
                            <a:avLst/>
                          </a:prstGeom>
                        </pic:spPr>
                      </pic:pic>
                    </a:graphicData>
                  </a:graphic>
                </wp:inline>
              </w:drawing>
            </w:r>
          </w:p>
          <w:p>
            <w:pPr>
              <w:spacing w:line="360" w:lineRule="auto"/>
              <w:ind w:firstLine="240" w:firstLineChars="100"/>
              <w:rPr>
                <w:rFonts w:ascii="楷体" w:hAnsi="楷体" w:eastAsia="楷体"/>
                <w:sz w:val="24"/>
                <w:szCs w:val="24"/>
              </w:rPr>
            </w:pPr>
            <w:r>
              <w:rPr>
                <w:rFonts w:hint="eastAsia" w:ascii="楷体" w:hAnsi="楷体" w:eastAsia="楷体"/>
                <w:sz w:val="24"/>
                <w:szCs w:val="24"/>
              </w:rPr>
              <w:t>查到工艺流程卡，对生产过程各工序进行了监控检查，具体参见</w:t>
            </w:r>
            <w:r>
              <w:rPr>
                <w:rFonts w:hint="eastAsia" w:ascii="楷体" w:hAnsi="楷体" w:eastAsia="楷体"/>
                <w:sz w:val="24"/>
                <w:szCs w:val="24"/>
                <w:lang w:val="en-US" w:eastAsia="zh-CN"/>
              </w:rPr>
              <w:t>质量部</w:t>
            </w:r>
            <w:r>
              <w:rPr>
                <w:rFonts w:hint="eastAsia" w:ascii="楷体" w:hAnsi="楷体" w:eastAsia="楷体"/>
                <w:sz w:val="24"/>
                <w:szCs w:val="24"/>
              </w:rPr>
              <w:t>Q8.6审核记录。</w:t>
            </w:r>
          </w:p>
          <w:p>
            <w:pPr>
              <w:spacing w:line="360" w:lineRule="auto"/>
              <w:ind w:firstLine="360" w:firstLineChars="150"/>
              <w:rPr>
                <w:rFonts w:hint="eastAsia" w:ascii="楷体" w:hAnsi="楷体" w:eastAsia="楷体" w:cs="Arial"/>
                <w:color w:val="FF0000"/>
                <w:sz w:val="24"/>
                <w:szCs w:val="24"/>
                <w:lang w:val="en-US" w:eastAsia="zh-CN"/>
              </w:rPr>
            </w:pPr>
            <w:r>
              <w:rPr>
                <w:rFonts w:hint="eastAsia" w:ascii="楷体" w:hAnsi="楷体" w:eastAsia="楷体" w:cs="Arial"/>
                <w:sz w:val="24"/>
                <w:szCs w:val="24"/>
              </w:rPr>
              <w:t>组织生产过程的控制符合标准规定的要求。</w:t>
            </w:r>
          </w:p>
          <w:p>
            <w:pPr>
              <w:spacing w:line="360" w:lineRule="auto"/>
              <w:ind w:firstLine="360" w:firstLineChars="150"/>
              <w:rPr>
                <w:rFonts w:hint="eastAsia" w:ascii="楷体" w:hAnsi="楷体" w:eastAsia="楷体" w:cs="Arial"/>
                <w:sz w:val="24"/>
                <w:szCs w:val="24"/>
                <w:lang w:eastAsia="zh-CN"/>
              </w:rPr>
            </w:pPr>
            <w:r>
              <w:rPr>
                <w:rFonts w:hint="eastAsia" w:ascii="楷体" w:hAnsi="楷体" w:eastAsia="楷体" w:cs="Arial"/>
                <w:sz w:val="24"/>
                <w:szCs w:val="24"/>
                <w:lang w:eastAsia="zh-CN"/>
              </w:rPr>
              <w:drawing>
                <wp:inline distT="0" distB="0" distL="114300" distR="114300">
                  <wp:extent cx="1745615" cy="2475865"/>
                  <wp:effectExtent l="0" t="0" r="6985" b="635"/>
                  <wp:docPr id="3" name="图片 3" descr="afac6a4e543c9a73a328d48112c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ac6a4e543c9a73a328d48112c6894"/>
                          <pic:cNvPicPr>
                            <a:picLocks noChangeAspect="1"/>
                          </pic:cNvPicPr>
                        </pic:nvPicPr>
                        <pic:blipFill>
                          <a:blip r:embed="rId13"/>
                          <a:stretch>
                            <a:fillRect/>
                          </a:stretch>
                        </pic:blipFill>
                        <pic:spPr>
                          <a:xfrm>
                            <a:off x="0" y="0"/>
                            <a:ext cx="1745615" cy="2475865"/>
                          </a:xfrm>
                          <a:prstGeom prst="rect">
                            <a:avLst/>
                          </a:prstGeom>
                        </pic:spPr>
                      </pic:pic>
                    </a:graphicData>
                  </a:graphic>
                </wp:inline>
              </w:drawing>
            </w:r>
            <w:r>
              <w:rPr>
                <w:rFonts w:hint="eastAsia" w:ascii="楷体" w:hAnsi="楷体" w:eastAsia="楷体" w:cs="Arial"/>
                <w:sz w:val="24"/>
                <w:szCs w:val="24"/>
                <w:lang w:val="en-US" w:eastAsia="zh-CN"/>
              </w:rPr>
              <w:t xml:space="preserve">           </w:t>
            </w:r>
            <w:r>
              <w:rPr>
                <w:rFonts w:hint="eastAsia" w:ascii="楷体" w:hAnsi="楷体" w:eastAsia="楷体" w:cs="Arial"/>
                <w:sz w:val="24"/>
                <w:szCs w:val="24"/>
                <w:lang w:eastAsia="zh-CN"/>
              </w:rPr>
              <w:drawing>
                <wp:inline distT="0" distB="0" distL="114300" distR="114300">
                  <wp:extent cx="1751330" cy="2369185"/>
                  <wp:effectExtent l="0" t="0" r="1270" b="5715"/>
                  <wp:docPr id="4" name="图片 4" descr="47c710def22ef6ed52b8784d0e60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7c710def22ef6ed52b8784d0e60c40"/>
                          <pic:cNvPicPr>
                            <a:picLocks noChangeAspect="1"/>
                          </pic:cNvPicPr>
                        </pic:nvPicPr>
                        <pic:blipFill>
                          <a:blip r:embed="rId14"/>
                          <a:stretch>
                            <a:fillRect/>
                          </a:stretch>
                        </pic:blipFill>
                        <pic:spPr>
                          <a:xfrm>
                            <a:off x="0" y="0"/>
                            <a:ext cx="1751330" cy="2369185"/>
                          </a:xfrm>
                          <a:prstGeom prst="rect">
                            <a:avLst/>
                          </a:prstGeom>
                        </pic:spPr>
                      </pic:pic>
                    </a:graphicData>
                  </a:graphic>
                </wp:inline>
              </w:drawing>
            </w: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lang w:eastAsia="zh-CN"/>
              </w:rPr>
            </w:pPr>
            <w:r>
              <w:rPr>
                <w:rFonts w:hint="eastAsia" w:ascii="楷体" w:hAnsi="楷体" w:eastAsia="楷体" w:cs="Arial"/>
                <w:sz w:val="24"/>
                <w:szCs w:val="24"/>
                <w:lang w:val="en-US" w:eastAsia="zh-CN"/>
              </w:rPr>
              <w:t xml:space="preserve">    </w:t>
            </w:r>
            <w:r>
              <w:rPr>
                <w:rFonts w:hint="eastAsia" w:ascii="楷体" w:hAnsi="楷体" w:eastAsia="楷体" w:cs="Arial"/>
                <w:sz w:val="24"/>
                <w:szCs w:val="24"/>
                <w:lang w:eastAsia="zh-CN"/>
              </w:rPr>
              <w:drawing>
                <wp:inline distT="0" distB="0" distL="114300" distR="114300">
                  <wp:extent cx="2124075" cy="2377440"/>
                  <wp:effectExtent l="0" t="0" r="10160" b="9525"/>
                  <wp:docPr id="6" name="图片 6" descr="54b9e05516cb91ebc78c104455f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4b9e05516cb91ebc78c104455f6876"/>
                          <pic:cNvPicPr>
                            <a:picLocks noChangeAspect="1"/>
                          </pic:cNvPicPr>
                        </pic:nvPicPr>
                        <pic:blipFill>
                          <a:blip r:embed="rId15"/>
                          <a:stretch>
                            <a:fillRect/>
                          </a:stretch>
                        </pic:blipFill>
                        <pic:spPr>
                          <a:xfrm rot="16200000">
                            <a:off x="0" y="0"/>
                            <a:ext cx="2124075" cy="2377440"/>
                          </a:xfrm>
                          <a:prstGeom prst="rect">
                            <a:avLst/>
                          </a:prstGeom>
                        </pic:spPr>
                      </pic:pic>
                    </a:graphicData>
                  </a:graphic>
                </wp:inline>
              </w:drawing>
            </w:r>
            <w:r>
              <w:rPr>
                <w:rFonts w:hint="eastAsia" w:ascii="楷体" w:hAnsi="楷体" w:eastAsia="楷体" w:cs="Arial"/>
                <w:sz w:val="24"/>
                <w:szCs w:val="24"/>
                <w:lang w:val="en-US" w:eastAsia="zh-CN"/>
              </w:rPr>
              <w:t xml:space="preserve">   </w:t>
            </w:r>
            <w:r>
              <w:rPr>
                <w:rFonts w:hint="eastAsia" w:ascii="楷体" w:hAnsi="楷体" w:eastAsia="楷体" w:cs="Arial"/>
                <w:sz w:val="24"/>
                <w:szCs w:val="24"/>
              </w:rPr>
              <w:drawing>
                <wp:inline distT="0" distB="0" distL="114300" distR="114300">
                  <wp:extent cx="2938145" cy="2252980"/>
                  <wp:effectExtent l="0" t="0" r="8255" b="7620"/>
                  <wp:docPr id="7" name="图片 7" descr="ccdfbe25e1795707b918d02924f6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cdfbe25e1795707b918d02924f69b0"/>
                          <pic:cNvPicPr>
                            <a:picLocks noChangeAspect="1"/>
                          </pic:cNvPicPr>
                        </pic:nvPicPr>
                        <pic:blipFill>
                          <a:blip r:embed="rId16"/>
                          <a:stretch>
                            <a:fillRect/>
                          </a:stretch>
                        </pic:blipFill>
                        <pic:spPr>
                          <a:xfrm>
                            <a:off x="0" y="0"/>
                            <a:ext cx="2938145" cy="2252980"/>
                          </a:xfrm>
                          <a:prstGeom prst="rect">
                            <a:avLst/>
                          </a:prstGeom>
                        </pic:spPr>
                      </pic:pic>
                    </a:graphicData>
                  </a:graphic>
                </wp:inline>
              </w:drawing>
            </w:r>
          </w:p>
          <w:p>
            <w:pPr>
              <w:pStyle w:val="2"/>
              <w:jc w:val="both"/>
              <w:rPr>
                <w:rFonts w:hint="eastAsia" w:ascii="楷体" w:hAnsi="楷体" w:eastAsia="楷体" w:cs="Arial"/>
                <w:sz w:val="24"/>
                <w:szCs w:val="24"/>
                <w:lang w:eastAsia="zh-CN"/>
              </w:rPr>
            </w:pPr>
          </w:p>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cs="Arial"/>
                <w:sz w:val="24"/>
                <w:szCs w:val="24"/>
                <w:lang w:eastAsia="zh-CN"/>
              </w:rPr>
              <w:drawing>
                <wp:inline distT="0" distB="0" distL="114300" distR="114300">
                  <wp:extent cx="2526030" cy="2096135"/>
                  <wp:effectExtent l="0" t="0" r="3810" b="6985"/>
                  <wp:docPr id="2" name="图片 2" descr="20398ffff73a41ede5f0163f0d04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398ffff73a41ede5f0163f0d046bb"/>
                          <pic:cNvPicPr>
                            <a:picLocks noChangeAspect="1"/>
                          </pic:cNvPicPr>
                        </pic:nvPicPr>
                        <pic:blipFill>
                          <a:blip r:embed="rId17"/>
                          <a:stretch>
                            <a:fillRect/>
                          </a:stretch>
                        </pic:blipFill>
                        <pic:spPr>
                          <a:xfrm>
                            <a:off x="0" y="0"/>
                            <a:ext cx="2526030" cy="2096135"/>
                          </a:xfrm>
                          <a:prstGeom prst="rect">
                            <a:avLst/>
                          </a:prstGeom>
                        </pic:spPr>
                      </pic:pic>
                    </a:graphicData>
                  </a:graphic>
                </wp:inline>
              </w:drawing>
            </w:r>
            <w:r>
              <w:rPr>
                <w:rFonts w:hint="eastAsia" w:ascii="楷体" w:hAnsi="楷体" w:eastAsia="楷体" w:cs="Arial"/>
                <w:sz w:val="24"/>
                <w:szCs w:val="24"/>
                <w:lang w:val="en-US" w:eastAsia="zh-CN"/>
              </w:rPr>
              <w:t xml:space="preserve">      </w:t>
            </w:r>
            <w:r>
              <w:rPr>
                <w:rFonts w:hint="eastAsia" w:ascii="楷体" w:hAnsi="楷体" w:eastAsia="楷体" w:cs="Arial"/>
                <w:sz w:val="24"/>
                <w:szCs w:val="24"/>
              </w:rPr>
              <w:drawing>
                <wp:inline distT="0" distB="0" distL="114300" distR="114300">
                  <wp:extent cx="2682240" cy="2106930"/>
                  <wp:effectExtent l="0" t="0" r="0" b="11430"/>
                  <wp:docPr id="8" name="图片 8" descr="d0dcae640748a6c11975c90a1a3e1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0dcae640748a6c11975c90a1a3e1f9"/>
                          <pic:cNvPicPr>
                            <a:picLocks noChangeAspect="1"/>
                          </pic:cNvPicPr>
                        </pic:nvPicPr>
                        <pic:blipFill>
                          <a:blip r:embed="rId18"/>
                          <a:stretch>
                            <a:fillRect/>
                          </a:stretch>
                        </pic:blipFill>
                        <pic:spPr>
                          <a:xfrm>
                            <a:off x="0" y="0"/>
                            <a:ext cx="2682240" cy="2106930"/>
                          </a:xfrm>
                          <a:prstGeom prst="rect">
                            <a:avLst/>
                          </a:prstGeom>
                        </pic:spPr>
                      </pic:pic>
                    </a:graphicData>
                  </a:graphic>
                </wp:inline>
              </w:drawing>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u w:val="none"/>
                <w:lang w:val="en-US" w:eastAsia="zh-CN"/>
              </w:rPr>
            </w:pPr>
          </w:p>
          <w:p>
            <w:pPr>
              <w:pStyle w:val="2"/>
              <w:ind w:firstLine="540" w:firstLineChars="300"/>
              <w:jc w:val="both"/>
              <w:rPr>
                <w:rFonts w:hint="eastAsia"/>
                <w:u w:val="none"/>
                <w:lang w:val="en-US" w:eastAsia="zh-CN"/>
              </w:rPr>
            </w:pPr>
          </w:p>
          <w:p>
            <w:pPr>
              <w:pStyle w:val="2"/>
              <w:ind w:firstLine="540" w:firstLineChars="300"/>
              <w:jc w:val="both"/>
              <w:rPr>
                <w:rFonts w:hint="default" w:eastAsia="宋体"/>
                <w:lang w:val="en-US" w:eastAsia="zh-CN"/>
              </w:rPr>
            </w:pPr>
            <w:r>
              <w:rPr>
                <w:rFonts w:hint="eastAsia"/>
                <w:u w:val="none"/>
                <w:lang w:val="en-US" w:eastAsia="zh-CN"/>
              </w:rPr>
              <w:t xml:space="preserve"> </w:t>
            </w:r>
            <w:r>
              <w:rPr>
                <w:rFonts w:hint="eastAsia" w:ascii="宋体" w:hAnsi="宋体" w:eastAsia="宋体" w:cs="新宋体"/>
                <w:kern w:val="2"/>
                <w:sz w:val="21"/>
                <w:szCs w:val="21"/>
                <w:u w:val="no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sz w:val="21"/>
                <w:szCs w:val="21"/>
              </w:rPr>
              <w:t>标识和可追溯/产品防护</w:t>
            </w:r>
          </w:p>
        </w:tc>
        <w:tc>
          <w:tcPr>
            <w:tcW w:w="9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Q8.5.2</w:t>
            </w:r>
          </w:p>
          <w:p>
            <w:pPr>
              <w:spacing w:line="360" w:lineRule="auto"/>
              <w:jc w:val="center"/>
              <w:rPr>
                <w:rFonts w:hint="eastAsia" w:ascii="宋体" w:hAnsi="宋体" w:eastAsia="宋体" w:cs="宋体"/>
                <w:bCs/>
                <w:sz w:val="21"/>
                <w:szCs w:val="21"/>
              </w:rPr>
            </w:pPr>
            <w:r>
              <w:rPr>
                <w:rFonts w:hint="eastAsia" w:ascii="宋体" w:hAnsi="宋体" w:eastAsia="宋体" w:cs="宋体"/>
                <w:sz w:val="21"/>
                <w:szCs w:val="21"/>
              </w:rPr>
              <w:t>8.5.4</w:t>
            </w:r>
          </w:p>
        </w:tc>
        <w:tc>
          <w:tcPr>
            <w:tcW w:w="10004" w:type="dxa"/>
            <w:vAlign w:val="top"/>
          </w:tcPr>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远程查看</w:t>
            </w:r>
            <w:r>
              <w:rPr>
                <w:rFonts w:hint="eastAsia" w:ascii="宋体" w:hAnsi="宋体" w:eastAsia="宋体" w:cs="宋体"/>
                <w:sz w:val="21"/>
                <w:szCs w:val="21"/>
              </w:rPr>
              <w:t>：</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看到公司的生产车间、仓库的产品标识清晰。待检品、合格品、不合格品分区存放，摆放整齐。小件存放在库房货架上，均有标识。出库时业务员核对标签无误后再交付。当产品有可追溯的目的要求时，以相应的采购单、生产单、规定、检验单、入库单、出货单达到追溯的目的。</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 产品搬运均采用小推车、电梯及人工搬运，可有效防护产品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 查组织的生产车间、库房地面清洁，标识清晰，配备消防设施，定位摆放。</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3．产品摆放高度合理，易于存取。</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 查物料管理台账，帐、卡、物相符，贮存和保护有效。</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5.运输时加盖帆布防雨淋。</w:t>
            </w:r>
          </w:p>
          <w:p>
            <w:pPr>
              <w:autoSpaceDE w:val="0"/>
              <w:autoSpaceDN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产品标识和防护的管理符合标准要求。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sz w:val="21"/>
                <w:szCs w:val="21"/>
              </w:rPr>
              <w:t>更改控制</w:t>
            </w:r>
          </w:p>
        </w:tc>
        <w:tc>
          <w:tcPr>
            <w:tcW w:w="960" w:type="dxa"/>
            <w:vAlign w:val="center"/>
          </w:tcPr>
          <w:p>
            <w:pPr>
              <w:tabs>
                <w:tab w:val="left" w:pos="7380"/>
              </w:tabs>
              <w:spacing w:line="360" w:lineRule="auto"/>
              <w:rPr>
                <w:rFonts w:hint="eastAsia" w:ascii="宋体" w:hAnsi="宋体" w:eastAsia="宋体" w:cs="宋体"/>
                <w:bCs/>
                <w:sz w:val="21"/>
                <w:szCs w:val="21"/>
              </w:rPr>
            </w:pPr>
            <w:r>
              <w:rPr>
                <w:rFonts w:hint="eastAsia" w:ascii="宋体" w:hAnsi="宋体" w:eastAsia="宋体" w:cs="宋体"/>
                <w:sz w:val="21"/>
                <w:szCs w:val="21"/>
              </w:rPr>
              <w:t>Q8.5.6</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制造部</w:t>
            </w:r>
            <w:r>
              <w:rPr>
                <w:rFonts w:hint="eastAsia" w:ascii="宋体" w:hAnsi="宋体" w:eastAsia="宋体" w:cs="宋体"/>
                <w:sz w:val="21"/>
                <w:szCs w:val="21"/>
              </w:rPr>
              <w:t>负责人介绍，当内外外部环境，如客户要求、产品技术和质量要求、生产工艺、适用的法律法规和产品技术标准等有更改时，相关部门提出更改计划并进行更改，更改由原制定人负责具体实施。</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自体系建立以来，未发生生产和服务控制有关信息的变更。</w:t>
            </w:r>
          </w:p>
        </w:tc>
        <w:tc>
          <w:tcPr>
            <w:tcW w:w="1585" w:type="dxa"/>
          </w:tcPr>
          <w:p/>
        </w:tc>
      </w:tr>
    </w:tbl>
    <w:p>
      <w:pPr>
        <w:pStyle w:val="8"/>
        <w:rPr>
          <w:rFonts w:hint="eastAsia"/>
        </w:rPr>
      </w:pPr>
      <w:r>
        <w:rPr>
          <w:rFonts w:hint="eastAsia"/>
        </w:rPr>
        <w:t>说明：不符合标注N</w:t>
      </w:r>
    </w:p>
    <w:p>
      <w:pPr>
        <w:rPr>
          <w:rFonts w:hint="eastAsia"/>
        </w:rPr>
      </w:pPr>
      <w:r>
        <w:rPr>
          <w:rFonts w:hint="eastAsia"/>
        </w:rPr>
        <w:br w:type="pag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945" w:firstLineChars="450"/>
      <w:jc w:val="left"/>
      <w:rPr>
        <w:rStyle w:val="15"/>
        <w:rFonts w:hint="default"/>
      </w:rPr>
    </w:pP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drawing>
        <wp:anchor distT="0" distB="0" distL="114300" distR="114300" simplePos="0" relativeHeight="251664384" behindDoc="0" locked="0" layoutInCell="1" allowOverlap="1">
          <wp:simplePos x="0" y="0"/>
          <wp:positionH relativeFrom="column">
            <wp:posOffset>-76200</wp:posOffset>
          </wp:positionH>
          <wp:positionV relativeFrom="paragraph">
            <wp:posOffset>-343535</wp:posOffset>
          </wp:positionV>
          <wp:extent cx="485775" cy="485775"/>
          <wp:effectExtent l="0" t="0" r="9525" b="9525"/>
          <wp:wrapTopAndBottom/>
          <wp:docPr id="1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pPr>
                  <w:rPr>
                    <w:sz w:val="18"/>
                    <w:szCs w:val="18"/>
                  </w:rPr>
                </w:pPr>
                <w:r>
                  <w:rPr>
                    <w:rFonts w:hint="eastAsia"/>
                    <w:sz w:val="18"/>
                    <w:szCs w:val="18"/>
                  </w:rPr>
                  <w:t>ISC-B-II-12(05版）</w:t>
                </w:r>
              </w:p>
              <w:p>
                <w:r>
                  <w:rPr>
                    <w:rFonts w:hint="eastAsia"/>
                    <w:sz w:val="18"/>
                    <w:szCs w:val="18"/>
                  </w:rPr>
                  <w:t>体系审核记录表(03版)</w:t>
                </w:r>
              </w:p>
            </w:txbxContent>
          </v:textbox>
        </v:shape>
      </w:pict>
    </w:r>
    <w:r>
      <w:rPr>
        <w:rStyle w:val="15"/>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57016"/>
    <w:rsid w:val="03FD4FF6"/>
    <w:rsid w:val="046B233E"/>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F314117"/>
    <w:rsid w:val="10085BB1"/>
    <w:rsid w:val="1017085D"/>
    <w:rsid w:val="10240207"/>
    <w:rsid w:val="10276BE9"/>
    <w:rsid w:val="105240D8"/>
    <w:rsid w:val="108219C2"/>
    <w:rsid w:val="109C41F6"/>
    <w:rsid w:val="10D76028"/>
    <w:rsid w:val="10DB16FB"/>
    <w:rsid w:val="1113224B"/>
    <w:rsid w:val="11712337"/>
    <w:rsid w:val="11D5395F"/>
    <w:rsid w:val="121467D1"/>
    <w:rsid w:val="1229456B"/>
    <w:rsid w:val="12330544"/>
    <w:rsid w:val="126F600C"/>
    <w:rsid w:val="128D1E4D"/>
    <w:rsid w:val="12D95375"/>
    <w:rsid w:val="132216DA"/>
    <w:rsid w:val="13D53507"/>
    <w:rsid w:val="13ED6C52"/>
    <w:rsid w:val="141C3600"/>
    <w:rsid w:val="142F0875"/>
    <w:rsid w:val="14EE56DB"/>
    <w:rsid w:val="15135E98"/>
    <w:rsid w:val="16772BD8"/>
    <w:rsid w:val="16867BEB"/>
    <w:rsid w:val="16BA6C31"/>
    <w:rsid w:val="17FD3326"/>
    <w:rsid w:val="185D6041"/>
    <w:rsid w:val="18B94195"/>
    <w:rsid w:val="19272344"/>
    <w:rsid w:val="19B46AE7"/>
    <w:rsid w:val="19ED09D0"/>
    <w:rsid w:val="1A9904CA"/>
    <w:rsid w:val="1AFD5E38"/>
    <w:rsid w:val="1B41023F"/>
    <w:rsid w:val="1BB100F1"/>
    <w:rsid w:val="1BD05128"/>
    <w:rsid w:val="1CC22FD1"/>
    <w:rsid w:val="1CE967C9"/>
    <w:rsid w:val="1D5112B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F02A12"/>
    <w:rsid w:val="26FF3AD0"/>
    <w:rsid w:val="2A1C1758"/>
    <w:rsid w:val="2A455774"/>
    <w:rsid w:val="2A9C7564"/>
    <w:rsid w:val="2ACA6785"/>
    <w:rsid w:val="2ACE0872"/>
    <w:rsid w:val="2B004F79"/>
    <w:rsid w:val="2BD34A0D"/>
    <w:rsid w:val="2BDB689E"/>
    <w:rsid w:val="2C3C4945"/>
    <w:rsid w:val="2DC74F5E"/>
    <w:rsid w:val="2E096DBC"/>
    <w:rsid w:val="2E905510"/>
    <w:rsid w:val="2EB86955"/>
    <w:rsid w:val="2F0A352A"/>
    <w:rsid w:val="2F543231"/>
    <w:rsid w:val="2F5A7F85"/>
    <w:rsid w:val="2F5E6CB1"/>
    <w:rsid w:val="2F8E7791"/>
    <w:rsid w:val="2FF1370F"/>
    <w:rsid w:val="300B71F1"/>
    <w:rsid w:val="30313EC8"/>
    <w:rsid w:val="305C1DB5"/>
    <w:rsid w:val="31633F3B"/>
    <w:rsid w:val="31817E3D"/>
    <w:rsid w:val="31B41456"/>
    <w:rsid w:val="32505D26"/>
    <w:rsid w:val="32B242D5"/>
    <w:rsid w:val="348F71F4"/>
    <w:rsid w:val="34916F9A"/>
    <w:rsid w:val="359529B1"/>
    <w:rsid w:val="35FC3F43"/>
    <w:rsid w:val="36294D55"/>
    <w:rsid w:val="364C179A"/>
    <w:rsid w:val="3684783E"/>
    <w:rsid w:val="36AE4266"/>
    <w:rsid w:val="37364BB8"/>
    <w:rsid w:val="37883A40"/>
    <w:rsid w:val="37895692"/>
    <w:rsid w:val="378E2D18"/>
    <w:rsid w:val="38441F92"/>
    <w:rsid w:val="38B95E34"/>
    <w:rsid w:val="39285AAA"/>
    <w:rsid w:val="39E6519B"/>
    <w:rsid w:val="3A7B6B87"/>
    <w:rsid w:val="3AF80729"/>
    <w:rsid w:val="3B12715F"/>
    <w:rsid w:val="3B5F4DA0"/>
    <w:rsid w:val="3BC20472"/>
    <w:rsid w:val="3BD271D9"/>
    <w:rsid w:val="3BDD69B3"/>
    <w:rsid w:val="3CF93155"/>
    <w:rsid w:val="3D0E1190"/>
    <w:rsid w:val="3D5F10F9"/>
    <w:rsid w:val="3D901C4B"/>
    <w:rsid w:val="3D9F1B62"/>
    <w:rsid w:val="3DB9109A"/>
    <w:rsid w:val="3DD6700D"/>
    <w:rsid w:val="3E927D55"/>
    <w:rsid w:val="3F6159C1"/>
    <w:rsid w:val="3F67141F"/>
    <w:rsid w:val="3F941A8C"/>
    <w:rsid w:val="3FD67B85"/>
    <w:rsid w:val="405F089D"/>
    <w:rsid w:val="409A0C02"/>
    <w:rsid w:val="40CB7023"/>
    <w:rsid w:val="41606430"/>
    <w:rsid w:val="42555572"/>
    <w:rsid w:val="425725E8"/>
    <w:rsid w:val="42996777"/>
    <w:rsid w:val="43110922"/>
    <w:rsid w:val="43CD744C"/>
    <w:rsid w:val="4478512B"/>
    <w:rsid w:val="452F66AF"/>
    <w:rsid w:val="455129CA"/>
    <w:rsid w:val="462C33D1"/>
    <w:rsid w:val="46667AEF"/>
    <w:rsid w:val="466D0E0E"/>
    <w:rsid w:val="4695373F"/>
    <w:rsid w:val="4697160F"/>
    <w:rsid w:val="46B91E20"/>
    <w:rsid w:val="474B206F"/>
    <w:rsid w:val="478F2E3A"/>
    <w:rsid w:val="47B4115F"/>
    <w:rsid w:val="489050D9"/>
    <w:rsid w:val="48B87816"/>
    <w:rsid w:val="49023463"/>
    <w:rsid w:val="49682BE3"/>
    <w:rsid w:val="49EC1F8B"/>
    <w:rsid w:val="4A0D2C5F"/>
    <w:rsid w:val="4A7F020F"/>
    <w:rsid w:val="4AA772B4"/>
    <w:rsid w:val="4C0F3FD0"/>
    <w:rsid w:val="4C531B79"/>
    <w:rsid w:val="4C636052"/>
    <w:rsid w:val="4D1C333A"/>
    <w:rsid w:val="4D5A3A3A"/>
    <w:rsid w:val="4D6F6AE3"/>
    <w:rsid w:val="4EF010EA"/>
    <w:rsid w:val="4EFC26DC"/>
    <w:rsid w:val="4F5C1F11"/>
    <w:rsid w:val="4F726449"/>
    <w:rsid w:val="5000230A"/>
    <w:rsid w:val="500055C5"/>
    <w:rsid w:val="50414F82"/>
    <w:rsid w:val="50B16817"/>
    <w:rsid w:val="5176133C"/>
    <w:rsid w:val="51D134CF"/>
    <w:rsid w:val="51DA5D40"/>
    <w:rsid w:val="523C78CD"/>
    <w:rsid w:val="52EE38A2"/>
    <w:rsid w:val="53395E55"/>
    <w:rsid w:val="53693CAB"/>
    <w:rsid w:val="549C5D38"/>
    <w:rsid w:val="54EA72BB"/>
    <w:rsid w:val="55DA0FDB"/>
    <w:rsid w:val="55F91CC3"/>
    <w:rsid w:val="56047B5D"/>
    <w:rsid w:val="561513C9"/>
    <w:rsid w:val="567C45F7"/>
    <w:rsid w:val="56E800CA"/>
    <w:rsid w:val="57342DB2"/>
    <w:rsid w:val="57627A71"/>
    <w:rsid w:val="578541BD"/>
    <w:rsid w:val="58111AF2"/>
    <w:rsid w:val="58492CD1"/>
    <w:rsid w:val="58960553"/>
    <w:rsid w:val="58C94867"/>
    <w:rsid w:val="58D02612"/>
    <w:rsid w:val="59457317"/>
    <w:rsid w:val="5A9D21AB"/>
    <w:rsid w:val="5AB613F2"/>
    <w:rsid w:val="5ABB0A1E"/>
    <w:rsid w:val="5B612207"/>
    <w:rsid w:val="5B8E7AE8"/>
    <w:rsid w:val="5C2772B0"/>
    <w:rsid w:val="5C480A26"/>
    <w:rsid w:val="5C6C0910"/>
    <w:rsid w:val="5E3C45AA"/>
    <w:rsid w:val="5E4C2901"/>
    <w:rsid w:val="5E5B33B2"/>
    <w:rsid w:val="5EA12B9A"/>
    <w:rsid w:val="5EEC3F13"/>
    <w:rsid w:val="5F2E0F5F"/>
    <w:rsid w:val="5F9D00F8"/>
    <w:rsid w:val="5F9D03C5"/>
    <w:rsid w:val="604F07F1"/>
    <w:rsid w:val="60654070"/>
    <w:rsid w:val="619536FC"/>
    <w:rsid w:val="61B911B5"/>
    <w:rsid w:val="62522124"/>
    <w:rsid w:val="62831B48"/>
    <w:rsid w:val="63231932"/>
    <w:rsid w:val="63517AAF"/>
    <w:rsid w:val="636016A8"/>
    <w:rsid w:val="645544BE"/>
    <w:rsid w:val="646C4CC4"/>
    <w:rsid w:val="64EF61EB"/>
    <w:rsid w:val="65171900"/>
    <w:rsid w:val="65183ECB"/>
    <w:rsid w:val="652956BE"/>
    <w:rsid w:val="659E04BA"/>
    <w:rsid w:val="65CA6838"/>
    <w:rsid w:val="665053DB"/>
    <w:rsid w:val="6684384C"/>
    <w:rsid w:val="66DE0102"/>
    <w:rsid w:val="67152B67"/>
    <w:rsid w:val="67415C3C"/>
    <w:rsid w:val="67E5742B"/>
    <w:rsid w:val="68127C3B"/>
    <w:rsid w:val="68764576"/>
    <w:rsid w:val="68F027D6"/>
    <w:rsid w:val="690C6064"/>
    <w:rsid w:val="69673E19"/>
    <w:rsid w:val="699B12F2"/>
    <w:rsid w:val="69A429DF"/>
    <w:rsid w:val="6A677455"/>
    <w:rsid w:val="6A6C3C8A"/>
    <w:rsid w:val="6A821F34"/>
    <w:rsid w:val="6A974851"/>
    <w:rsid w:val="6AFD0161"/>
    <w:rsid w:val="6B517308"/>
    <w:rsid w:val="6B633BBF"/>
    <w:rsid w:val="6B9003ED"/>
    <w:rsid w:val="6C2500E0"/>
    <w:rsid w:val="6C7A320C"/>
    <w:rsid w:val="6CAD1FEB"/>
    <w:rsid w:val="6CCB6BCF"/>
    <w:rsid w:val="6D1211C3"/>
    <w:rsid w:val="6D7B6FD2"/>
    <w:rsid w:val="6D9318BE"/>
    <w:rsid w:val="6DD944A3"/>
    <w:rsid w:val="6E9C69DC"/>
    <w:rsid w:val="6EBA59F7"/>
    <w:rsid w:val="6EE92007"/>
    <w:rsid w:val="6FB63E8E"/>
    <w:rsid w:val="6FF845CA"/>
    <w:rsid w:val="701A0B93"/>
    <w:rsid w:val="705F4C76"/>
    <w:rsid w:val="70956DF5"/>
    <w:rsid w:val="70B7124E"/>
    <w:rsid w:val="71064139"/>
    <w:rsid w:val="711F0358"/>
    <w:rsid w:val="71C11E77"/>
    <w:rsid w:val="726B4339"/>
    <w:rsid w:val="728C2B53"/>
    <w:rsid w:val="72F02F6F"/>
    <w:rsid w:val="731628E1"/>
    <w:rsid w:val="73533FDD"/>
    <w:rsid w:val="737B42EF"/>
    <w:rsid w:val="73891EB2"/>
    <w:rsid w:val="73B81ADD"/>
    <w:rsid w:val="73CE52A3"/>
    <w:rsid w:val="741722F5"/>
    <w:rsid w:val="74926960"/>
    <w:rsid w:val="75784EBD"/>
    <w:rsid w:val="75BF112D"/>
    <w:rsid w:val="75E67D08"/>
    <w:rsid w:val="75FF16C4"/>
    <w:rsid w:val="76316263"/>
    <w:rsid w:val="7658545C"/>
    <w:rsid w:val="7768158A"/>
    <w:rsid w:val="777F3BC3"/>
    <w:rsid w:val="77B53A15"/>
    <w:rsid w:val="77EA4D2B"/>
    <w:rsid w:val="78210FD4"/>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0"/>
    <w:qFormat/>
    <w:uiPriority w:val="99"/>
    <w:rPr>
      <w:rFonts w:ascii="宋体" w:hAnsi="Courier New"/>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2"/>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szCs w:val="22"/>
    </w:rPr>
  </w:style>
  <w:style w:type="paragraph" w:customStyle="1" w:styleId="19">
    <w:name w:val="列出段落3"/>
    <w:basedOn w:val="1"/>
    <w:qFormat/>
    <w:uiPriority w:val="34"/>
    <w:pPr>
      <w:ind w:firstLine="420" w:firstLineChars="200"/>
    </w:pPr>
    <w:rPr>
      <w:rFonts w:ascii="Calibri" w:hAnsi="Calibri"/>
      <w:szCs w:val="22"/>
    </w:rPr>
  </w:style>
  <w:style w:type="character" w:customStyle="1" w:styleId="20">
    <w:name w:val="纯文本 Char"/>
    <w:basedOn w:val="11"/>
    <w:link w:val="6"/>
    <w:qFormat/>
    <w:uiPriority w:val="99"/>
    <w:rPr>
      <w:rFonts w:ascii="宋体" w:hAnsi="Courier New"/>
      <w:kern w:val="2"/>
      <w:sz w:val="21"/>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1</TotalTime>
  <ScaleCrop>false</ScaleCrop>
  <LinksUpToDate>false</LinksUpToDate>
  <CharactersWithSpaces>19324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2022-04-12T06:41:20Z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C6288A6C2584409B893C431E5984A124</vt:lpwstr>
  </property>
</Properties>
</file>