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受审核部门：管理层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cs="宋体"/>
                <w:sz w:val="21"/>
                <w:szCs w:val="21"/>
                <w:lang w:eastAsia="zh-CN"/>
              </w:rPr>
              <w:t>周振义</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cs="宋体"/>
                <w:sz w:val="21"/>
                <w:szCs w:val="21"/>
                <w:lang w:val="en-US" w:eastAsia="zh-CN"/>
              </w:rPr>
              <w:t>丁志刚</w:t>
            </w:r>
          </w:p>
        </w:tc>
        <w:tc>
          <w:tcPr>
            <w:tcW w:w="1585" w:type="dxa"/>
            <w:vMerge w:val="restart"/>
            <w:vAlign w:val="center"/>
          </w:tcPr>
          <w:p>
            <w:pPr>
              <w:ind w:firstLine="240" w:firstLineChars="100"/>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 xml:space="preserve">李俐   </w:t>
            </w:r>
            <w:r>
              <w:rPr>
                <w:rFonts w:hint="eastAsia" w:ascii="宋体" w:hAnsi="宋体" w:cs="宋体"/>
                <w:sz w:val="21"/>
                <w:szCs w:val="21"/>
                <w:lang w:val="en-US" w:eastAsia="zh-CN"/>
              </w:rPr>
              <w:t>张亮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2.4.11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adjustRightInd w:val="0"/>
              <w:snapToGrid w:val="0"/>
              <w:spacing w:line="360" w:lineRule="auto"/>
              <w:ind w:right="105" w:rightChars="50"/>
              <w:textAlignment w:val="baseline"/>
              <w:rPr>
                <w:rFonts w:hint="eastAsia" w:ascii="宋体" w:hAnsi="宋体" w:eastAsia="宋体" w:cs="宋体"/>
                <w:sz w:val="21"/>
                <w:szCs w:val="21"/>
              </w:rPr>
            </w:pPr>
            <w:r>
              <w:rPr>
                <w:rFonts w:hint="eastAsia" w:ascii="宋体" w:hAnsi="宋体" w:eastAsia="宋体" w:cs="宋体"/>
                <w:sz w:val="21"/>
                <w:szCs w:val="21"/>
              </w:rPr>
              <w:t>审核条款：</w:t>
            </w:r>
          </w:p>
          <w:p>
            <w:pPr>
              <w:adjustRightInd w:val="0"/>
              <w:snapToGrid w:val="0"/>
              <w:spacing w:line="360" w:lineRule="auto"/>
              <w:ind w:right="105" w:rightChars="50"/>
              <w:textAlignment w:val="baseline"/>
              <w:rPr>
                <w:rFonts w:ascii="宋体" w:hAnsi="宋体" w:cs="Arial"/>
                <w:spacing w:val="-6"/>
                <w:sz w:val="21"/>
                <w:szCs w:val="21"/>
              </w:rPr>
            </w:pPr>
            <w:r>
              <w:rPr>
                <w:rFonts w:hint="eastAsia" w:ascii="宋体" w:hAnsi="宋体" w:cs="Arial"/>
                <w:spacing w:val="-6"/>
                <w:sz w:val="21"/>
                <w:szCs w:val="21"/>
              </w:rPr>
              <w:t>Q:4.1理解组织及其环境、4.2理解相关方的需求和期望、4.3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w:t>
            </w:r>
            <w:r>
              <w:rPr>
                <w:rFonts w:hint="eastAsia" w:cs="宋体" w:asciiTheme="minorEastAsia" w:hAnsiTheme="minorEastAsia" w:eastAsiaTheme="minorEastAsia"/>
                <w:szCs w:val="21"/>
              </w:rPr>
              <w:t>9.1.3分析与评价</w:t>
            </w:r>
            <w:r>
              <w:rPr>
                <w:rFonts w:hint="eastAsia" w:ascii="宋体" w:hAnsi="宋体" w:cs="Arial"/>
                <w:spacing w:val="-6"/>
                <w:sz w:val="21"/>
                <w:szCs w:val="21"/>
              </w:rPr>
              <w:t>9.3管理评审、10.1改进、10.3持续改进，</w:t>
            </w:r>
          </w:p>
          <w:p>
            <w:pPr>
              <w:spacing w:line="360" w:lineRule="auto"/>
              <w:rPr>
                <w:rFonts w:hint="eastAsia" w:ascii="宋体" w:hAnsi="宋体" w:eastAsia="宋体" w:cs="宋体"/>
                <w:sz w:val="21"/>
                <w:szCs w:val="21"/>
              </w:rPr>
            </w:pPr>
            <w:r>
              <w:rPr>
                <w:rFonts w:hint="eastAsia" w:ascii="宋体" w:hAnsi="宋体" w:cs="Arial"/>
                <w:spacing w:val="-6"/>
                <w:sz w:val="21"/>
                <w:szCs w:val="21"/>
              </w:rPr>
              <w:t>国家/地方监督抽查情况；顾客满意、相关方投诉及处理情况；一阶段问题验证，验证企业相关资质证明的有效性；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line="360" w:lineRule="auto"/>
              <w:rPr>
                <w:rFonts w:ascii="宋体" w:hAnsi="宋体" w:cs="宋体"/>
                <w:szCs w:val="21"/>
              </w:rPr>
            </w:pPr>
            <w:r>
              <w:rPr>
                <w:rFonts w:hint="eastAsia" w:ascii="宋体" w:hAnsi="宋体" w:cs="宋体"/>
                <w:szCs w:val="21"/>
              </w:rPr>
              <w:t>组织及其环境;</w:t>
            </w:r>
          </w:p>
          <w:p>
            <w:pPr>
              <w:spacing w:line="360" w:lineRule="auto"/>
              <w:rPr>
                <w:rFonts w:ascii="宋体" w:hAnsi="宋体" w:cs="宋体"/>
                <w:szCs w:val="21"/>
              </w:rPr>
            </w:pPr>
            <w:r>
              <w:rPr>
                <w:rFonts w:hint="eastAsia" w:ascii="宋体" w:hAnsi="宋体" w:cs="宋体"/>
                <w:szCs w:val="21"/>
              </w:rPr>
              <w:t>相关方需求与期望;</w:t>
            </w:r>
          </w:p>
          <w:p>
            <w:pPr>
              <w:spacing w:line="360" w:lineRule="auto"/>
              <w:rPr>
                <w:rFonts w:ascii="宋体" w:hAnsi="宋体" w:cs="宋体"/>
                <w:szCs w:val="21"/>
              </w:rPr>
            </w:pPr>
            <w:r>
              <w:rPr>
                <w:rFonts w:hint="eastAsia" w:ascii="宋体" w:hAnsi="宋体" w:cs="宋体"/>
                <w:szCs w:val="21"/>
              </w:rPr>
              <w:t>确定体系范围;</w:t>
            </w:r>
          </w:p>
          <w:p>
            <w:pPr>
              <w:spacing w:line="360" w:lineRule="auto"/>
              <w:rPr>
                <w:rFonts w:ascii="宋体" w:hAnsi="宋体" w:cs="宋体"/>
                <w:szCs w:val="21"/>
              </w:rPr>
            </w:pPr>
            <w:r>
              <w:rPr>
                <w:rFonts w:hint="eastAsia" w:ascii="宋体" w:hAnsi="宋体" w:cs="宋体"/>
                <w:szCs w:val="21"/>
              </w:rPr>
              <w:t>体系及其过程;</w:t>
            </w:r>
          </w:p>
          <w:p>
            <w:pPr>
              <w:spacing w:line="360" w:lineRule="auto"/>
              <w:rPr>
                <w:rFonts w:ascii="宋体" w:hAnsi="宋体" w:cs="宋体"/>
                <w:szCs w:val="21"/>
              </w:rPr>
            </w:pPr>
            <w:r>
              <w:rPr>
                <w:rFonts w:hint="eastAsia" w:ascii="宋体" w:hAnsi="宋体" w:cs="宋体"/>
                <w:szCs w:val="21"/>
              </w:rPr>
              <w:t>总要求</w:t>
            </w:r>
          </w:p>
          <w:p>
            <w:pPr>
              <w:spacing w:line="360" w:lineRule="auto"/>
            </w:pPr>
          </w:p>
        </w:tc>
        <w:tc>
          <w:tcPr>
            <w:tcW w:w="960" w:type="dxa"/>
          </w:tcPr>
          <w:p>
            <w:pPr>
              <w:adjustRightInd w:val="0"/>
              <w:snapToGrid w:val="0"/>
              <w:spacing w:line="360" w:lineRule="auto"/>
              <w:rPr>
                <w:rFonts w:hint="eastAsia" w:ascii="宋体" w:hAnsi="宋体" w:cs="宋体"/>
                <w:szCs w:val="21"/>
              </w:rPr>
            </w:pPr>
          </w:p>
          <w:p>
            <w:pPr>
              <w:pStyle w:val="21"/>
              <w:rPr>
                <w:rFonts w:hint="eastAsia" w:ascii="宋体" w:hAnsi="宋体" w:cs="宋体"/>
                <w:szCs w:val="21"/>
              </w:rPr>
            </w:pPr>
          </w:p>
          <w:p>
            <w:pPr>
              <w:pStyle w:val="21"/>
              <w:rPr>
                <w:rFonts w:hint="eastAsia" w:ascii="宋体" w:hAnsi="宋体" w:cs="宋体"/>
                <w:szCs w:val="21"/>
              </w:rPr>
            </w:pPr>
          </w:p>
          <w:p>
            <w:pPr>
              <w:pStyle w:val="21"/>
              <w:rPr>
                <w:rFonts w:hint="eastAsia" w:ascii="宋体" w:hAnsi="宋体" w:cs="宋体"/>
                <w:szCs w:val="21"/>
              </w:rPr>
            </w:pPr>
          </w:p>
          <w:p>
            <w:pPr>
              <w:pStyle w:val="21"/>
              <w:rPr>
                <w:rFonts w:hint="eastAsia" w:ascii="宋体" w:hAnsi="宋体" w:cs="宋体"/>
                <w:szCs w:val="21"/>
              </w:rPr>
            </w:pPr>
          </w:p>
          <w:p>
            <w:pPr>
              <w:pStyle w:val="21"/>
              <w:rPr>
                <w:rFonts w:hint="eastAsia" w:ascii="宋体" w:hAnsi="宋体" w:cs="宋体"/>
                <w:szCs w:val="21"/>
              </w:rPr>
            </w:pPr>
          </w:p>
          <w:p>
            <w:pPr>
              <w:pStyle w:val="21"/>
              <w:rPr>
                <w:rFonts w:hint="eastAsia" w:ascii="宋体" w:hAnsi="宋体" w:cs="宋体"/>
                <w:szCs w:val="21"/>
              </w:rPr>
            </w:pPr>
          </w:p>
          <w:p>
            <w:pPr>
              <w:pStyle w:val="21"/>
              <w:rPr>
                <w:rFonts w:hint="eastAsia" w:ascii="宋体" w:hAnsi="宋体" w:cs="宋体"/>
                <w:szCs w:val="21"/>
              </w:rPr>
            </w:pPr>
          </w:p>
          <w:p>
            <w:pPr>
              <w:pStyle w:val="21"/>
              <w:rPr>
                <w:rFonts w:hint="eastAsia" w:ascii="宋体" w:hAnsi="宋体" w:cs="宋体"/>
                <w:szCs w:val="21"/>
              </w:rPr>
            </w:pPr>
          </w:p>
          <w:p>
            <w:pPr>
              <w:pStyle w:val="21"/>
              <w:rPr>
                <w:rFonts w:hint="eastAsia" w:ascii="宋体" w:hAnsi="宋体" w:cs="宋体"/>
                <w:szCs w:val="21"/>
              </w:rPr>
            </w:pPr>
          </w:p>
          <w:p>
            <w:pPr>
              <w:pStyle w:val="21"/>
              <w:rPr>
                <w:rFonts w:hint="eastAsia" w:ascii="宋体" w:hAnsi="宋体" w:cs="宋体"/>
                <w:szCs w:val="21"/>
              </w:rPr>
            </w:pPr>
          </w:p>
          <w:p>
            <w:pPr>
              <w:adjustRightInd w:val="0"/>
              <w:snapToGrid w:val="0"/>
              <w:spacing w:line="360" w:lineRule="auto"/>
              <w:rPr>
                <w:rFonts w:hint="eastAsia" w:ascii="宋体" w:hAnsi="宋体" w:cs="宋体"/>
                <w:szCs w:val="21"/>
              </w:rPr>
            </w:pPr>
            <w:r>
              <w:rPr>
                <w:rFonts w:hint="eastAsia" w:ascii="宋体" w:hAnsi="宋体" w:cs="宋体"/>
                <w:szCs w:val="21"/>
              </w:rPr>
              <w:t>4.1;</w:t>
            </w: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pStyle w:val="21"/>
              <w:rPr>
                <w:rFonts w:hint="eastAsia" w:ascii="宋体" w:hAnsi="宋体" w:cs="宋体"/>
                <w:szCs w:val="21"/>
              </w:rPr>
            </w:pPr>
          </w:p>
          <w:p>
            <w:pPr>
              <w:pStyle w:val="21"/>
              <w:rPr>
                <w:rFonts w:hint="eastAsia" w:ascii="宋体" w:hAnsi="宋体" w:cs="宋体"/>
                <w:szCs w:val="21"/>
              </w:rPr>
            </w:pPr>
          </w:p>
          <w:p>
            <w:pPr>
              <w:pStyle w:val="21"/>
              <w:rPr>
                <w:rFonts w:hint="eastAsia" w:ascii="宋体" w:hAnsi="宋体" w:cs="宋体"/>
                <w:szCs w:val="21"/>
              </w:rPr>
            </w:pPr>
          </w:p>
          <w:p>
            <w:pPr>
              <w:adjustRightInd w:val="0"/>
              <w:snapToGrid w:val="0"/>
              <w:spacing w:line="360" w:lineRule="auto"/>
              <w:rPr>
                <w:rFonts w:hint="eastAsia" w:ascii="宋体" w:hAnsi="宋体" w:cs="宋体"/>
                <w:szCs w:val="21"/>
              </w:rPr>
            </w:pPr>
            <w:r>
              <w:rPr>
                <w:rFonts w:hint="eastAsia" w:ascii="宋体" w:hAnsi="宋体" w:cs="宋体"/>
                <w:szCs w:val="21"/>
              </w:rPr>
              <w:t>4.2;</w:t>
            </w:r>
          </w:p>
          <w:p>
            <w:pPr>
              <w:pStyle w:val="3"/>
              <w:rPr>
                <w:rFonts w:hint="eastAsia" w:ascii="宋体" w:hAnsi="宋体" w:cs="宋体"/>
                <w:szCs w:val="21"/>
              </w:rPr>
            </w:pPr>
          </w:p>
          <w:p>
            <w:pPr>
              <w:pStyle w:val="4"/>
              <w:rPr>
                <w:rFonts w:hint="eastAsia" w:ascii="宋体" w:hAnsi="宋体" w:cs="宋体"/>
                <w:szCs w:val="21"/>
              </w:rPr>
            </w:pPr>
          </w:p>
          <w:p>
            <w:pPr>
              <w:pStyle w:val="4"/>
              <w:ind w:left="0" w:leftChars="0" w:firstLine="0" w:firstLineChars="0"/>
              <w:rPr>
                <w:rFonts w:hint="eastAsia" w:ascii="宋体" w:hAnsi="宋体" w:cs="宋体"/>
                <w:szCs w:val="21"/>
              </w:rPr>
            </w:pPr>
          </w:p>
          <w:p>
            <w:pPr>
              <w:pStyle w:val="4"/>
              <w:rPr>
                <w:rFonts w:hint="eastAsia" w:ascii="宋体" w:hAnsi="宋体" w:cs="宋体"/>
                <w:szCs w:val="21"/>
              </w:rPr>
            </w:pPr>
          </w:p>
          <w:p>
            <w:pPr>
              <w:pStyle w:val="4"/>
              <w:rPr>
                <w:rFonts w:hint="eastAsia" w:ascii="宋体" w:hAnsi="宋体" w:cs="宋体"/>
                <w:szCs w:val="21"/>
              </w:rPr>
            </w:pPr>
          </w:p>
          <w:p>
            <w:pPr>
              <w:pStyle w:val="4"/>
              <w:rPr>
                <w:rFonts w:hint="eastAsia" w:ascii="宋体" w:hAnsi="宋体" w:cs="宋体"/>
                <w:szCs w:val="21"/>
              </w:rPr>
            </w:pPr>
          </w:p>
          <w:p>
            <w:pPr>
              <w:adjustRightInd w:val="0"/>
              <w:snapToGrid w:val="0"/>
              <w:spacing w:line="360" w:lineRule="auto"/>
              <w:rPr>
                <w:rFonts w:hint="eastAsia" w:ascii="宋体" w:hAnsi="宋体" w:cs="宋体"/>
                <w:szCs w:val="21"/>
              </w:rPr>
            </w:pPr>
            <w:r>
              <w:rPr>
                <w:rFonts w:hint="eastAsia" w:ascii="宋体" w:hAnsi="宋体" w:cs="宋体"/>
                <w:szCs w:val="21"/>
              </w:rPr>
              <w:t>4.3;</w:t>
            </w: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4.4；</w:t>
            </w: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ascii="宋体" w:hAnsi="宋体" w:cs="宋体"/>
                <w:szCs w:val="21"/>
              </w:rPr>
            </w:pPr>
          </w:p>
          <w:p>
            <w:pPr>
              <w:spacing w:line="360" w:lineRule="auto"/>
            </w:pPr>
          </w:p>
        </w:tc>
        <w:tc>
          <w:tcPr>
            <w:tcW w:w="10004" w:type="dxa"/>
          </w:tcPr>
          <w:p>
            <w:pPr>
              <w:spacing w:line="360" w:lineRule="auto"/>
              <w:rPr>
                <w:rFonts w:hint="eastAsia" w:ascii="宋体" w:hAnsi="宋体"/>
                <w:szCs w:val="21"/>
              </w:rPr>
            </w:pPr>
            <w:r>
              <w:rPr>
                <w:rFonts w:hint="eastAsia" w:ascii="宋体" w:hAnsi="宋体"/>
                <w:szCs w:val="21"/>
              </w:rPr>
              <w:t>公司高层领导：设置总经理及管理者代表</w:t>
            </w:r>
          </w:p>
          <w:p>
            <w:pPr>
              <w:spacing w:line="360" w:lineRule="auto"/>
              <w:rPr>
                <w:rFonts w:hint="eastAsia" w:ascii="宋体" w:hAnsi="宋体"/>
                <w:szCs w:val="21"/>
              </w:rPr>
            </w:pPr>
            <w:r>
              <w:rPr>
                <w:rFonts w:hint="eastAsia" w:ascii="宋体" w:hAnsi="宋体"/>
                <w:szCs w:val="21"/>
              </w:rPr>
              <w:t>提供营业执照</w:t>
            </w:r>
            <w:r>
              <w:rPr>
                <w:rFonts w:hint="eastAsia" w:ascii="宋体" w:hAnsi="宋体"/>
                <w:szCs w:val="21"/>
                <w:lang w:eastAsia="zh-CN"/>
              </w:rPr>
              <w:t>：</w:t>
            </w:r>
            <w:r>
              <w:rPr>
                <w:rFonts w:hint="eastAsia" w:ascii="宋体" w:hAnsi="宋体"/>
                <w:szCs w:val="21"/>
              </w:rPr>
              <w:t>91320412MA1TAUR110，在有效期内，地址和实际一致，包含认证范围。</w:t>
            </w:r>
          </w:p>
          <w:p>
            <w:pPr>
              <w:spacing w:line="360" w:lineRule="auto"/>
              <w:rPr>
                <w:rFonts w:hint="eastAsia" w:ascii="宋体" w:hAnsi="宋体"/>
                <w:szCs w:val="21"/>
              </w:rPr>
            </w:pPr>
            <w:r>
              <w:rPr>
                <w:rFonts w:hint="eastAsia" w:ascii="宋体" w:hAnsi="宋体"/>
                <w:szCs w:val="21"/>
              </w:rPr>
              <w:t>注册地址：常州西太湖科技产业园兰香路8号12号楼二楼东边厂房；</w:t>
            </w:r>
          </w:p>
          <w:p>
            <w:pPr>
              <w:spacing w:line="360" w:lineRule="auto"/>
              <w:rPr>
                <w:rFonts w:hint="eastAsia" w:ascii="宋体" w:hAnsi="宋体"/>
                <w:szCs w:val="21"/>
              </w:rPr>
            </w:pPr>
            <w:r>
              <w:rPr>
                <w:rFonts w:hint="eastAsia" w:ascii="宋体" w:hAnsi="宋体"/>
                <w:szCs w:val="21"/>
              </w:rPr>
              <w:t>生产经营地址：</w:t>
            </w:r>
            <w:bookmarkStart w:id="0" w:name="生产地址"/>
            <w:r>
              <w:rPr>
                <w:rFonts w:hint="eastAsia" w:ascii="宋体" w:hAnsi="宋体"/>
                <w:szCs w:val="21"/>
              </w:rPr>
              <w:t>江苏省常州西太湖科技产业园兰香路8号</w:t>
            </w:r>
            <w:bookmarkEnd w:id="0"/>
          </w:p>
          <w:p>
            <w:pPr>
              <w:spacing w:line="360" w:lineRule="auto"/>
              <w:rPr>
                <w:rFonts w:hint="eastAsia" w:ascii="宋体" w:hAnsi="宋体"/>
                <w:szCs w:val="21"/>
              </w:rPr>
            </w:pPr>
            <w:r>
              <w:rPr>
                <w:rFonts w:hint="eastAsia" w:ascii="宋体" w:hAnsi="宋体"/>
                <w:szCs w:val="21"/>
              </w:rPr>
              <w:t>认证范围确定为：石墨烯导电复合加热膜的设计、生产和销售</w:t>
            </w:r>
          </w:p>
          <w:p>
            <w:pPr>
              <w:spacing w:line="360" w:lineRule="auto"/>
              <w:rPr>
                <w:rFonts w:hint="eastAsia" w:ascii="宋体" w:hAnsi="宋体"/>
                <w:szCs w:val="21"/>
              </w:rPr>
            </w:pPr>
            <w:r>
              <w:rPr>
                <w:rFonts w:hint="eastAsia" w:ascii="宋体" w:hAnsi="宋体"/>
                <w:szCs w:val="21"/>
              </w:rPr>
              <w:t>管理体系设置了管理层、综合管理部、技术开发部</w:t>
            </w:r>
            <w:r>
              <w:rPr>
                <w:rFonts w:hint="eastAsia" w:ascii="宋体" w:hAnsi="宋体"/>
                <w:szCs w:val="21"/>
                <w:lang w:eastAsia="zh-CN"/>
              </w:rPr>
              <w:t>、</w:t>
            </w:r>
            <w:r>
              <w:rPr>
                <w:rFonts w:hint="eastAsia"/>
              </w:rPr>
              <w:t>质量部</w:t>
            </w:r>
            <w:r>
              <w:rPr>
                <w:rFonts w:hint="eastAsia"/>
                <w:lang w:eastAsia="zh-CN"/>
              </w:rPr>
              <w:t>、</w:t>
            </w:r>
            <w:r>
              <w:rPr>
                <w:rFonts w:hint="eastAsia"/>
              </w:rPr>
              <w:t>制造部</w:t>
            </w:r>
            <w:r>
              <w:rPr>
                <w:rFonts w:hint="eastAsia"/>
                <w:lang w:eastAsia="zh-CN"/>
              </w:rPr>
              <w:t>、</w:t>
            </w:r>
            <w:r>
              <w:rPr>
                <w:rFonts w:hint="eastAsia"/>
              </w:rPr>
              <w:t>动力部</w:t>
            </w:r>
            <w:r>
              <w:rPr>
                <w:rFonts w:hint="eastAsia"/>
                <w:lang w:eastAsia="zh-CN"/>
              </w:rPr>
              <w:t>、</w:t>
            </w:r>
            <w:r>
              <w:rPr>
                <w:rFonts w:hint="eastAsia"/>
              </w:rPr>
              <w:t>采购部</w:t>
            </w:r>
            <w:r>
              <w:rPr>
                <w:rFonts w:hint="eastAsia"/>
                <w:lang w:eastAsia="zh-CN"/>
              </w:rPr>
              <w:t>、</w:t>
            </w:r>
            <w:r>
              <w:rPr>
                <w:rFonts w:hint="eastAsia"/>
              </w:rPr>
              <w:t>销售部</w:t>
            </w:r>
            <w:r>
              <w:rPr>
                <w:rFonts w:hint="eastAsia"/>
                <w:lang w:eastAsia="zh-CN"/>
              </w:rPr>
              <w:t>，</w:t>
            </w:r>
            <w:r>
              <w:rPr>
                <w:rFonts w:hint="eastAsia" w:ascii="宋体" w:hAnsi="宋体"/>
                <w:szCs w:val="21"/>
              </w:rPr>
              <w:t>明确部门职责和权限。</w:t>
            </w:r>
          </w:p>
          <w:p>
            <w:pPr>
              <w:spacing w:line="360" w:lineRule="auto"/>
              <w:rPr>
                <w:rFonts w:hint="eastAsia"/>
              </w:rPr>
            </w:pPr>
            <w:r>
              <w:rPr>
                <w:rFonts w:hint="eastAsia" w:ascii="宋体" w:hAnsi="宋体"/>
                <w:szCs w:val="21"/>
              </w:rPr>
              <w:t>认证主管部门：</w:t>
            </w:r>
            <w:r>
              <w:rPr>
                <w:rFonts w:hint="eastAsia"/>
              </w:rPr>
              <w:t>质量部</w:t>
            </w:r>
          </w:p>
          <w:p>
            <w:pPr>
              <w:spacing w:line="360" w:lineRule="auto"/>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spacing w:line="360" w:lineRule="auto"/>
              <w:rPr>
                <w:rFonts w:hint="eastAsia" w:ascii="宋体" w:hAnsi="宋体"/>
                <w:szCs w:val="21"/>
              </w:rPr>
            </w:pPr>
            <w:r>
              <w:rPr>
                <w:rFonts w:hint="eastAsia" w:ascii="宋体" w:hAnsi="宋体"/>
                <w:szCs w:val="21"/>
              </w:rPr>
              <w:t>公司通过业内展会、同行交流、座谈会、每周工作例会、QQ、微信等进行内外部沟通，并定期进行评审，形成会议记录。</w:t>
            </w:r>
          </w:p>
          <w:p>
            <w:pPr>
              <w:pStyle w:val="21"/>
            </w:pPr>
          </w:p>
          <w:p>
            <w:pPr>
              <w:spacing w:line="360" w:lineRule="auto"/>
              <w:rPr>
                <w:rFonts w:ascii="宋体" w:hAnsi="宋体"/>
                <w:szCs w:val="21"/>
              </w:rPr>
            </w:pPr>
            <w:r>
              <w:rPr>
                <w:rFonts w:hint="eastAsia" w:ascii="宋体" w:hAnsi="宋体"/>
                <w:szCs w:val="21"/>
              </w:rPr>
              <w:t>公司确定的相关方有员工、业主、政府机构、审核机构、供方等。</w:t>
            </w:r>
          </w:p>
          <w:p>
            <w:pPr>
              <w:spacing w:line="360" w:lineRule="auto"/>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spacing w:line="360" w:lineRule="auto"/>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spacing w:line="360" w:lineRule="auto"/>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spacing w:line="360" w:lineRule="auto"/>
              <w:rPr>
                <w:rFonts w:ascii="宋体" w:hAnsi="宋体"/>
                <w:szCs w:val="21"/>
              </w:rPr>
            </w:pPr>
          </w:p>
          <w:p>
            <w:pPr>
              <w:spacing w:line="360" w:lineRule="auto"/>
              <w:jc w:val="left"/>
              <w:rPr>
                <w:rFonts w:hint="eastAsia" w:ascii="宋体" w:hAnsi="宋体"/>
                <w:b/>
                <w:szCs w:val="21"/>
              </w:rPr>
            </w:pPr>
            <w:r>
              <w:rPr>
                <w:rFonts w:hint="eastAsia"/>
                <w:szCs w:val="21"/>
              </w:rPr>
              <w:t>公司</w:t>
            </w:r>
            <w:r>
              <w:rPr>
                <w:rFonts w:hint="eastAsia"/>
                <w:szCs w:val="21"/>
                <w:lang w:val="en-US" w:eastAsia="zh-CN"/>
              </w:rPr>
              <w:t>质量</w:t>
            </w:r>
            <w:r>
              <w:rPr>
                <w:rFonts w:hint="eastAsia"/>
                <w:szCs w:val="21"/>
              </w:rPr>
              <w:t>管理体系的范围：石墨烯导电复合加热膜的设计、生产和销售</w:t>
            </w:r>
          </w:p>
          <w:p>
            <w:pPr>
              <w:spacing w:line="360" w:lineRule="auto"/>
              <w:rPr>
                <w:rFonts w:ascii="宋体" w:hAnsi="宋体"/>
                <w:szCs w:val="21"/>
              </w:rPr>
            </w:pPr>
            <w:r>
              <w:rPr>
                <w:szCs w:val="21"/>
              </w:rPr>
              <w:t>组织依据标准的要求建立、实施、维护管理体系，符合标准要求。</w:t>
            </w:r>
          </w:p>
          <w:p>
            <w:pPr>
              <w:spacing w:line="360" w:lineRule="auto"/>
              <w:ind w:firstLine="210" w:firstLineChars="100"/>
              <w:jc w:val="left"/>
              <w:rPr>
                <w:rFonts w:hint="eastAsia" w:ascii="宋体" w:hAnsi="宋体"/>
                <w:szCs w:val="21"/>
              </w:rPr>
            </w:pPr>
          </w:p>
          <w:p>
            <w:pPr>
              <w:spacing w:line="360" w:lineRule="auto"/>
              <w:ind w:firstLine="210" w:firstLineChars="100"/>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管理制度》，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lang w:val="en-US" w:eastAsia="zh-CN"/>
              </w:rPr>
            </w:pPr>
          </w:p>
          <w:p>
            <w:pPr>
              <w:rPr>
                <w:rFonts w:hint="eastAsia"/>
                <w:lang w:val="en-US" w:eastAsia="zh-CN"/>
              </w:rPr>
            </w:pPr>
          </w:p>
          <w:p>
            <w:pPr>
              <w:ind w:firstLine="420" w:firstLineChars="2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2160" w:type="dxa"/>
          </w:tcPr>
          <w:p>
            <w:pPr>
              <w:spacing w:line="480" w:lineRule="auto"/>
              <w:rPr>
                <w:rFonts w:ascii="宋体" w:hAnsi="宋体" w:cs="宋体"/>
                <w:szCs w:val="21"/>
              </w:rPr>
            </w:pPr>
            <w:r>
              <w:rPr>
                <w:rFonts w:hint="eastAsia" w:ascii="宋体" w:hAnsi="宋体" w:cs="宋体"/>
                <w:szCs w:val="21"/>
              </w:rPr>
              <w:t>领导作用与承诺</w:t>
            </w:r>
          </w:p>
          <w:p>
            <w:pPr>
              <w:spacing w:line="480" w:lineRule="auto"/>
            </w:pPr>
          </w:p>
        </w:tc>
        <w:tc>
          <w:tcPr>
            <w:tcW w:w="960" w:type="dxa"/>
          </w:tcPr>
          <w:p>
            <w:pPr>
              <w:spacing w:line="480" w:lineRule="auto"/>
              <w:jc w:val="left"/>
              <w:rPr>
                <w:rFonts w:ascii="宋体" w:hAnsi="宋体" w:cs="宋体"/>
                <w:szCs w:val="21"/>
              </w:rPr>
            </w:pPr>
            <w:r>
              <w:rPr>
                <w:rFonts w:hint="eastAsia" w:ascii="宋体" w:hAnsi="宋体" w:cs="宋体"/>
                <w:szCs w:val="21"/>
              </w:rPr>
              <w:t>5.1</w:t>
            </w:r>
          </w:p>
          <w:p>
            <w:pPr>
              <w:spacing w:line="480" w:lineRule="auto"/>
              <w:jc w:val="left"/>
              <w:rPr>
                <w:rFonts w:ascii="宋体" w:hAnsi="宋体" w:cs="宋体"/>
                <w:szCs w:val="21"/>
              </w:rPr>
            </w:pPr>
          </w:p>
        </w:tc>
        <w:tc>
          <w:tcPr>
            <w:tcW w:w="10004" w:type="dxa"/>
          </w:tcPr>
          <w:p>
            <w:pPr>
              <w:spacing w:line="360" w:lineRule="auto"/>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周振义</w:t>
            </w:r>
            <w:r>
              <w:rPr>
                <w:rFonts w:hint="eastAsia" w:ascii="宋体" w:hAnsi="宋体" w:cs="宋体"/>
                <w:szCs w:val="21"/>
              </w:rPr>
              <w:t>；管代：</w:t>
            </w:r>
            <w:r>
              <w:rPr>
                <w:rFonts w:hint="eastAsia" w:ascii="宋体" w:hAnsi="宋体" w:cs="宋体"/>
                <w:szCs w:val="21"/>
                <w:lang w:eastAsia="zh-CN"/>
              </w:rPr>
              <w:t>肖虎</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提供</w:t>
            </w:r>
            <w:r>
              <w:rPr>
                <w:rFonts w:hint="eastAsia" w:cs="宋体" w:asciiTheme="minorEastAsia" w:hAnsiTheme="minorEastAsia" w:eastAsiaTheme="minorEastAsia"/>
                <w:szCs w:val="21"/>
              </w:rPr>
              <w:t>交流，公司领导作用与承诺总经理通过以下方面证实其对质量管理体系的领导作用与承诺：</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a）确保质量方针和质量目标得到建立，并与组织的战略方向保持一致；</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b）确保质量方针在组织内得到理解和实施；</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c）确保质量管理体系的要求纳入到组织的业务动作；</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d）提高过程方法的意识；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e）确保质量管理体系所需的资源的获得；</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f）传达有效的质量管理以及满足质量管理体系、产品和服务要求的重要性；</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g）确保质量管理体系实现预期的输出；</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h）吸纳、指导和支持员工参与对质量管理体系的有效性作出贡献；</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i）增强持续改进和创新；</w:t>
            </w:r>
          </w:p>
          <w:p>
            <w:pPr>
              <w:spacing w:line="360" w:lineRule="auto"/>
              <w:ind w:firstLine="420" w:firstLineChars="200"/>
              <w:jc w:val="left"/>
              <w:rPr>
                <w:rFonts w:ascii="宋体" w:hAnsi="宋体" w:cs="宋体"/>
                <w:szCs w:val="21"/>
              </w:rPr>
            </w:pPr>
            <w:r>
              <w:rPr>
                <w:rFonts w:hint="eastAsia" w:cs="宋体" w:asciiTheme="minorEastAsia" w:hAnsiTheme="minorEastAsia" w:eastAsiaTheme="minorEastAsia"/>
                <w:szCs w:val="21"/>
              </w:rPr>
              <w:t>j）支持其他的管理者在其负责的领域证实其领导作用。</w:t>
            </w:r>
          </w:p>
        </w:tc>
        <w:tc>
          <w:tcPr>
            <w:tcW w:w="1585" w:type="dxa"/>
          </w:tcPr>
          <w:p>
            <w:pPr>
              <w:rPr>
                <w:rFonts w:hint="eastAsia"/>
                <w:lang w:val="en-US" w:eastAsia="zh-CN"/>
              </w:rPr>
            </w:pPr>
          </w:p>
          <w:p>
            <w:pPr>
              <w:ind w:firstLine="420" w:firstLineChars="200"/>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cs="宋体"/>
                <w:szCs w:val="21"/>
              </w:rPr>
            </w:pPr>
          </w:p>
          <w:p>
            <w:pPr>
              <w:rPr>
                <w:rFonts w:hint="eastAsia" w:ascii="宋体" w:hAnsi="宋体" w:cs="宋体"/>
                <w:szCs w:val="21"/>
              </w:rPr>
            </w:pPr>
          </w:p>
          <w:p>
            <w:pPr>
              <w:rPr>
                <w:b/>
                <w:szCs w:val="21"/>
              </w:rPr>
            </w:pPr>
            <w:r>
              <w:rPr>
                <w:rFonts w:hint="eastAsia" w:ascii="宋体" w:hAnsi="宋体" w:cs="宋体"/>
                <w:szCs w:val="21"/>
              </w:rPr>
              <w:t>方针</w:t>
            </w:r>
          </w:p>
        </w:tc>
        <w:tc>
          <w:tcPr>
            <w:tcW w:w="960" w:type="dxa"/>
          </w:tcPr>
          <w:p>
            <w:pPr>
              <w:rPr>
                <w:rFonts w:hint="eastAsia" w:ascii="宋体" w:hAnsi="宋体" w:cs="宋体"/>
                <w:szCs w:val="21"/>
              </w:rPr>
            </w:pPr>
          </w:p>
          <w:p>
            <w:pPr>
              <w:rPr>
                <w:rFonts w:ascii="宋体" w:hAnsi="宋体" w:cs="宋体"/>
                <w:szCs w:val="21"/>
              </w:rPr>
            </w:pPr>
            <w:r>
              <w:rPr>
                <w:rFonts w:hint="eastAsia" w:ascii="宋体" w:hAnsi="宋体" w:cs="宋体"/>
                <w:szCs w:val="21"/>
              </w:rPr>
              <w:t xml:space="preserve">5.2 </w:t>
            </w:r>
          </w:p>
          <w:p>
            <w:pPr>
              <w:rPr>
                <w:b/>
                <w:szCs w:val="21"/>
              </w:rPr>
            </w:pPr>
          </w:p>
        </w:tc>
        <w:tc>
          <w:tcPr>
            <w:tcW w:w="10004" w:type="dxa"/>
          </w:tcPr>
          <w:p>
            <w:pPr>
              <w:spacing w:line="360" w:lineRule="auto"/>
              <w:jc w:val="left"/>
              <w:rPr>
                <w:rFonts w:ascii="宋体" w:hAnsi="宋体" w:cs="宋体"/>
                <w:szCs w:val="21"/>
              </w:rPr>
            </w:pPr>
            <w:r>
              <w:rPr>
                <w:rFonts w:hint="eastAsia" w:ascii="宋体" w:hAnsi="宋体" w:cs="宋体"/>
                <w:b/>
                <w:bCs/>
                <w:szCs w:val="21"/>
              </w:rPr>
              <w:t>管理方针：</w:t>
            </w:r>
            <w:r>
              <w:rPr>
                <w:rFonts w:hint="eastAsia" w:ascii="宋体" w:hAnsi="宋体" w:cs="宋体"/>
                <w:szCs w:val="21"/>
              </w:rPr>
              <w:t xml:space="preserve"> </w:t>
            </w:r>
          </w:p>
          <w:p>
            <w:pPr>
              <w:pStyle w:val="6"/>
              <w:spacing w:line="360" w:lineRule="auto"/>
              <w:ind w:firstLine="420" w:firstLineChars="200"/>
              <w:rPr>
                <w:rFonts w:hAnsi="宋体" w:cs="宋体"/>
                <w:szCs w:val="21"/>
              </w:rPr>
            </w:pPr>
            <w:r>
              <w:rPr>
                <w:rFonts w:hint="eastAsia" w:hAnsi="宋体" w:cs="宋体"/>
                <w:szCs w:val="21"/>
              </w:rPr>
              <w:t>“守法诚信追求质量，预防污染保护环境；关爱员工健康安全，持续改进追求卓越。”</w:t>
            </w:r>
          </w:p>
          <w:p>
            <w:pPr>
              <w:spacing w:line="360" w:lineRule="auto"/>
              <w:jc w:val="left"/>
              <w:rPr>
                <w:rFonts w:ascii="宋体" w:hAnsi="宋体" w:cs="宋体"/>
                <w:szCs w:val="21"/>
              </w:rPr>
            </w:pPr>
            <w:r>
              <w:rPr>
                <w:rFonts w:hint="eastAsia" w:ascii="宋体" w:hAnsi="宋体" w:cs="宋体"/>
                <w:szCs w:val="21"/>
              </w:rPr>
              <w:t>其内涵包含了：</w:t>
            </w:r>
          </w:p>
          <w:p>
            <w:pPr>
              <w:spacing w:line="360" w:lineRule="auto"/>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360" w:lineRule="auto"/>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360" w:lineRule="auto"/>
              <w:jc w:val="left"/>
              <w:rPr>
                <w:rFonts w:ascii="宋体" w:hAnsi="宋体" w:cs="宋体"/>
                <w:szCs w:val="21"/>
              </w:rPr>
            </w:pPr>
            <w:r>
              <w:rPr>
                <w:rFonts w:hint="eastAsia" w:ascii="宋体" w:hAnsi="宋体" w:cs="宋体"/>
                <w:szCs w:val="21"/>
              </w:rPr>
              <w:t>员工是企业的重要资源，关爱员工是企业义不容辞的义务；</w:t>
            </w:r>
          </w:p>
          <w:p>
            <w:pPr>
              <w:spacing w:line="360" w:lineRule="auto"/>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360" w:lineRule="auto"/>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360" w:lineRule="auto"/>
              <w:jc w:val="left"/>
              <w:rPr>
                <w:rFonts w:ascii="宋体" w:hAnsi="宋体" w:cs="宋体"/>
                <w:szCs w:val="21"/>
              </w:rPr>
            </w:pPr>
            <w:r>
              <w:rPr>
                <w:rFonts w:hint="eastAsia" w:ascii="宋体" w:hAnsi="宋体" w:cs="宋体"/>
                <w:szCs w:val="21"/>
                <w:lang w:val="en-US" w:eastAsia="zh-CN"/>
              </w:rPr>
              <w:t>管理体系</w:t>
            </w:r>
            <w:r>
              <w:rPr>
                <w:rFonts w:hint="eastAsia" w:ascii="宋体" w:hAnsi="宋体" w:cs="宋体"/>
                <w:szCs w:val="21"/>
              </w:rPr>
              <w:t>管理方针在手册上进行了确定和发布，并通过文件发放的形式发放至各部门、给员工进行了宣传培训。</w:t>
            </w:r>
          </w:p>
          <w:p>
            <w:pPr>
              <w:spacing w:line="360" w:lineRule="auto"/>
              <w:jc w:val="left"/>
              <w:rPr>
                <w:rFonts w:ascii="宋体" w:hAnsi="宋体" w:cs="宋体"/>
                <w:szCs w:val="21"/>
              </w:rPr>
            </w:pPr>
            <w:r>
              <w:rPr>
                <w:rFonts w:hint="eastAsia" w:ascii="宋体" w:hAnsi="宋体" w:cs="宋体"/>
                <w:szCs w:val="21"/>
                <w:lang w:val="en-US" w:eastAsia="zh-CN"/>
              </w:rPr>
              <w:t>管理体系</w:t>
            </w:r>
            <w:r>
              <w:rPr>
                <w:rFonts w:hint="eastAsia" w:ascii="宋体" w:hAnsi="宋体" w:cs="宋体"/>
                <w:szCs w:val="21"/>
              </w:rPr>
              <w:t>方针对外进行了发布。</w:t>
            </w:r>
          </w:p>
          <w:p>
            <w:pPr>
              <w:spacing w:line="360" w:lineRule="auto"/>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360" w:lineRule="auto"/>
              <w:jc w:val="left"/>
              <w:rPr>
                <w:rFonts w:ascii="宋体" w:hAnsi="宋体" w:cs="宋体"/>
                <w:szCs w:val="21"/>
              </w:rPr>
            </w:pPr>
            <w:r>
              <w:rPr>
                <w:rFonts w:hint="eastAsia" w:ascii="宋体" w:hAnsi="宋体" w:cs="宋体"/>
                <w:szCs w:val="21"/>
              </w:rPr>
              <w:t>企业的</w:t>
            </w:r>
            <w:r>
              <w:rPr>
                <w:rFonts w:hint="eastAsia" w:ascii="宋体" w:hAnsi="宋体" w:cs="宋体"/>
                <w:szCs w:val="21"/>
                <w:lang w:val="en-US" w:eastAsia="zh-CN"/>
              </w:rPr>
              <w:t>管理体系</w:t>
            </w:r>
            <w:r>
              <w:rPr>
                <w:rFonts w:hint="eastAsia" w:ascii="宋体" w:hAnsi="宋体" w:cs="宋体"/>
                <w:szCs w:val="21"/>
              </w:rPr>
              <w:t>方针的内容和管理基本符合标准和法规要求。</w:t>
            </w:r>
          </w:p>
        </w:tc>
        <w:tc>
          <w:tcPr>
            <w:tcW w:w="1585" w:type="dxa"/>
          </w:tcPr>
          <w:p>
            <w:pPr>
              <w:rPr>
                <w:rFonts w:hint="eastAsia"/>
                <w:lang w:val="en-US" w:eastAsia="zh-CN"/>
              </w:rPr>
            </w:pPr>
          </w:p>
          <w:p>
            <w:pPr>
              <w:rPr>
                <w:rFonts w:hint="eastAsia"/>
                <w:lang w:val="en-US" w:eastAsia="zh-CN"/>
              </w:rPr>
            </w:pPr>
          </w:p>
          <w:p>
            <w:pPr>
              <w:ind w:firstLine="420" w:firstLineChars="200"/>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160" w:type="dxa"/>
          </w:tcPr>
          <w:p>
            <w:pPr>
              <w:adjustRightInd w:val="0"/>
              <w:snapToGrid w:val="0"/>
              <w:spacing w:line="360" w:lineRule="auto"/>
              <w:rPr>
                <w:rFonts w:hint="eastAsia"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组织的角色、职责和权限；</w:t>
            </w:r>
          </w:p>
          <w:p>
            <w:pPr>
              <w:adjustRightInd w:val="0"/>
              <w:snapToGrid w:val="0"/>
              <w:spacing w:line="360" w:lineRule="auto"/>
              <w:rPr>
                <w:b/>
                <w:szCs w:val="21"/>
              </w:rPr>
            </w:pPr>
          </w:p>
        </w:tc>
        <w:tc>
          <w:tcPr>
            <w:tcW w:w="960" w:type="dxa"/>
          </w:tcPr>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 xml:space="preserve">5.3 </w:t>
            </w:r>
          </w:p>
          <w:p>
            <w:pPr>
              <w:spacing w:line="360" w:lineRule="auto"/>
              <w:rPr>
                <w:b/>
                <w:szCs w:val="21"/>
              </w:rPr>
            </w:pPr>
          </w:p>
        </w:tc>
        <w:tc>
          <w:tcPr>
            <w:tcW w:w="10004" w:type="dxa"/>
          </w:tcPr>
          <w:p>
            <w:pPr>
              <w:spacing w:line="360" w:lineRule="auto"/>
              <w:rPr>
                <w:rFonts w:hint="eastAsia"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p>
            <w:pPr>
              <w:adjustRightInd w:val="0"/>
              <w:snapToGrid w:val="0"/>
              <w:spacing w:line="360" w:lineRule="auto"/>
              <w:jc w:val="left"/>
              <w:rPr>
                <w:rFonts w:hint="eastAsia" w:ascii="宋体" w:hAnsi="宋体" w:cs="宋体"/>
                <w:szCs w:val="21"/>
              </w:rPr>
            </w:pPr>
            <w:r>
              <w:rPr>
                <w:rFonts w:hint="eastAsia" w:ascii="宋体" w:hAnsi="宋体" w:cs="宋体"/>
                <w:szCs w:val="21"/>
                <w:lang w:val="en-US" w:eastAsia="zh-CN"/>
              </w:rPr>
              <w:t>总经理</w:t>
            </w:r>
            <w:r>
              <w:rPr>
                <w:rFonts w:hint="eastAsia" w:ascii="宋体" w:hAnsi="宋体" w:cs="宋体"/>
                <w:szCs w:val="21"/>
              </w:rPr>
              <w:t>任命</w:t>
            </w:r>
            <w:r>
              <w:rPr>
                <w:rFonts w:hint="eastAsia" w:ascii="宋体" w:hAnsi="宋体" w:cs="宋体"/>
                <w:szCs w:val="21"/>
                <w:lang w:eastAsia="zh-CN"/>
              </w:rPr>
              <w:t>肖虎</w:t>
            </w:r>
            <w:r>
              <w:rPr>
                <w:rFonts w:hint="eastAsia" w:ascii="宋体" w:hAnsi="宋体" w:cs="宋体"/>
                <w:szCs w:val="21"/>
              </w:rPr>
              <w:t>为</w:t>
            </w:r>
            <w:r>
              <w:rPr>
                <w:rFonts w:hint="eastAsia" w:ascii="宋体" w:hAnsi="宋体" w:cs="宋体"/>
                <w:szCs w:val="21"/>
                <w:lang w:val="en-US" w:eastAsia="zh-CN"/>
              </w:rPr>
              <w:t>质量</w:t>
            </w:r>
            <w:r>
              <w:rPr>
                <w:rFonts w:hint="eastAsia" w:ascii="宋体" w:hAnsi="宋体" w:cs="宋体"/>
                <w:szCs w:val="21"/>
              </w:rPr>
              <w:t>/环境/安全管理体系负责人，其职责和权限如下：</w:t>
            </w:r>
          </w:p>
          <w:p>
            <w:pPr>
              <w:adjustRightInd w:val="0"/>
              <w:snapToGrid w:val="0"/>
              <w:spacing w:line="360" w:lineRule="auto"/>
              <w:jc w:val="left"/>
              <w:rPr>
                <w:rFonts w:hint="eastAsia" w:ascii="宋体" w:hAnsi="宋体" w:cs="宋体"/>
                <w:szCs w:val="21"/>
              </w:rPr>
            </w:pPr>
            <w:r>
              <w:rPr>
                <w:rFonts w:hint="eastAsia" w:ascii="宋体" w:hAnsi="宋体" w:cs="宋体"/>
                <w:szCs w:val="21"/>
              </w:rPr>
              <w:t>a) 确保</w:t>
            </w:r>
            <w:r>
              <w:rPr>
                <w:rFonts w:hint="eastAsia" w:ascii="宋体" w:hAnsi="宋体" w:cs="宋体"/>
                <w:szCs w:val="21"/>
                <w:lang w:val="en-US" w:eastAsia="zh-CN"/>
              </w:rPr>
              <w:t>质量</w:t>
            </w:r>
            <w:r>
              <w:rPr>
                <w:rFonts w:hint="eastAsia" w:ascii="宋体" w:hAnsi="宋体" w:cs="宋体"/>
                <w:szCs w:val="21"/>
              </w:rPr>
              <w:t>/环境/安全管理体系符合本标准的要求；</w:t>
            </w:r>
          </w:p>
          <w:p>
            <w:pPr>
              <w:adjustRightInd w:val="0"/>
              <w:snapToGrid w:val="0"/>
              <w:spacing w:line="360" w:lineRule="auto"/>
              <w:jc w:val="left"/>
              <w:rPr>
                <w:rFonts w:hint="eastAsia" w:ascii="宋体" w:hAnsi="宋体" w:cs="宋体"/>
                <w:szCs w:val="21"/>
              </w:rPr>
            </w:pPr>
            <w:r>
              <w:rPr>
                <w:rFonts w:hint="eastAsia" w:ascii="宋体" w:hAnsi="宋体" w:cs="宋体"/>
                <w:szCs w:val="21"/>
              </w:rPr>
              <w:t>b) 确保过程相互作用并产生期望的结果；</w:t>
            </w:r>
          </w:p>
          <w:p>
            <w:pPr>
              <w:adjustRightInd w:val="0"/>
              <w:snapToGrid w:val="0"/>
              <w:spacing w:line="360" w:lineRule="auto"/>
              <w:jc w:val="left"/>
              <w:rPr>
                <w:rFonts w:hint="eastAsia" w:ascii="宋体" w:hAnsi="宋体" w:cs="宋体"/>
                <w:szCs w:val="21"/>
              </w:rPr>
            </w:pPr>
            <w:r>
              <w:rPr>
                <w:rFonts w:hint="eastAsia" w:ascii="宋体" w:hAnsi="宋体" w:cs="宋体"/>
                <w:szCs w:val="21"/>
              </w:rPr>
              <w:t>c) 向总经理报告</w:t>
            </w:r>
            <w:r>
              <w:rPr>
                <w:rFonts w:hint="eastAsia" w:ascii="宋体" w:hAnsi="宋体" w:cs="宋体"/>
                <w:szCs w:val="21"/>
                <w:lang w:val="en-US" w:eastAsia="zh-CN"/>
              </w:rPr>
              <w:t>质量</w:t>
            </w:r>
            <w:r>
              <w:rPr>
                <w:rFonts w:hint="eastAsia" w:ascii="宋体" w:hAnsi="宋体" w:cs="宋体"/>
                <w:szCs w:val="21"/>
              </w:rPr>
              <w:t>/环境/安全管理体系的绩效和任何改进的需求；</w:t>
            </w:r>
          </w:p>
          <w:p>
            <w:pPr>
              <w:adjustRightInd w:val="0"/>
              <w:snapToGrid w:val="0"/>
              <w:spacing w:line="360" w:lineRule="auto"/>
              <w:jc w:val="left"/>
              <w:rPr>
                <w:rFonts w:hint="eastAsia" w:ascii="宋体" w:hAnsi="宋体" w:cs="宋体"/>
                <w:szCs w:val="21"/>
              </w:rPr>
            </w:pPr>
            <w:r>
              <w:rPr>
                <w:rFonts w:hint="eastAsia" w:ascii="宋体" w:hAnsi="宋体" w:cs="宋体"/>
                <w:szCs w:val="21"/>
              </w:rPr>
              <w:t>d) 确保在整个公司内提高满足顾客要求的意识，确保所有承担管理职责的人员，都应该表明职业健康安全以及环境绩效持续改进的承诺；</w:t>
            </w:r>
          </w:p>
          <w:p>
            <w:pPr>
              <w:adjustRightInd w:val="0"/>
              <w:snapToGrid w:val="0"/>
              <w:spacing w:line="360" w:lineRule="auto"/>
              <w:jc w:val="left"/>
              <w:rPr>
                <w:rFonts w:hint="eastAsia" w:ascii="宋体" w:hAnsi="宋体" w:cs="宋体"/>
                <w:szCs w:val="21"/>
              </w:rPr>
            </w:pPr>
            <w:r>
              <w:rPr>
                <w:rFonts w:hint="eastAsia" w:ascii="宋体" w:hAnsi="宋体" w:cs="宋体"/>
                <w:szCs w:val="21"/>
              </w:rPr>
              <w:t>e )确保体系在任何情况下的完整性。</w:t>
            </w:r>
          </w:p>
          <w:p>
            <w:pPr>
              <w:adjustRightInd w:val="0"/>
              <w:snapToGrid w:val="0"/>
              <w:spacing w:line="360" w:lineRule="auto"/>
              <w:jc w:val="left"/>
              <w:rPr>
                <w:rFonts w:hint="default" w:ascii="宋体" w:hAnsi="宋体" w:cs="Arial"/>
                <w:szCs w:val="21"/>
                <w:lang w:val="en-US" w:eastAsia="zh-CN"/>
              </w:rPr>
            </w:pPr>
            <w:r>
              <w:rPr>
                <w:rFonts w:hint="eastAsia" w:ascii="宋体" w:hAnsi="宋体" w:cs="Arial"/>
                <w:szCs w:val="21"/>
                <w:lang w:val="en-US" w:eastAsia="zh-CN"/>
              </w:rPr>
              <w:t>经沟通管代明确其职责和权限。</w:t>
            </w:r>
          </w:p>
        </w:tc>
        <w:tc>
          <w:tcPr>
            <w:tcW w:w="1585" w:type="dxa"/>
          </w:tcPr>
          <w:p>
            <w:pPr>
              <w:rPr>
                <w:rFonts w:hint="eastAsia"/>
                <w:lang w:val="en-US" w:eastAsia="zh-CN"/>
              </w:rPr>
            </w:pPr>
          </w:p>
          <w:p>
            <w:pPr>
              <w:rPr>
                <w:rFonts w:hint="eastAsia"/>
                <w:lang w:val="en-US" w:eastAsia="zh-CN"/>
              </w:rPr>
            </w:pPr>
          </w:p>
          <w:p>
            <w:pPr>
              <w:rPr>
                <w:rFonts w:hint="eastAsia"/>
                <w:lang w:val="en-US" w:eastAsia="zh-CN"/>
              </w:rPr>
            </w:pPr>
          </w:p>
          <w:p>
            <w:pPr>
              <w:ind w:firstLine="420" w:firstLineChars="200"/>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160" w:type="dxa"/>
          </w:tcPr>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p>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hint="eastAsia" w:ascii="宋体" w:hAnsi="宋体" w:cs="宋体"/>
                <w:szCs w:val="21"/>
              </w:rPr>
            </w:pPr>
          </w:p>
          <w:p>
            <w:pPr>
              <w:rPr>
                <w:rFonts w:ascii="宋体" w:hAnsi="宋体" w:cs="宋体"/>
                <w:szCs w:val="21"/>
              </w:rPr>
            </w:pPr>
            <w:r>
              <w:rPr>
                <w:rFonts w:hint="eastAsia" w:ascii="宋体" w:hAnsi="宋体" w:cs="宋体"/>
                <w:szCs w:val="21"/>
              </w:rPr>
              <w:t xml:space="preserve">6.1 </w:t>
            </w:r>
          </w:p>
          <w:p>
            <w:pPr>
              <w:rPr>
                <w:bCs/>
                <w:szCs w:val="21"/>
              </w:rPr>
            </w:pPr>
          </w:p>
        </w:tc>
        <w:tc>
          <w:tcPr>
            <w:tcW w:w="10004" w:type="dxa"/>
          </w:tcPr>
          <w:p>
            <w:pPr>
              <w:spacing w:line="360" w:lineRule="auto"/>
              <w:ind w:firstLine="210" w:firstLineChars="100"/>
              <w:rPr>
                <w:rFonts w:hint="eastAsia" w:ascii="宋体" w:hAnsi="宋体" w:cs="宋体"/>
                <w:szCs w:val="21"/>
              </w:rPr>
            </w:pPr>
            <w:r>
              <w:rPr>
                <w:rFonts w:hint="eastAsia" w:ascii="宋体" w:hAnsi="宋体" w:cs="宋体"/>
                <w:szCs w:val="21"/>
              </w:rPr>
              <w:t>管理层指定人事行政科组织收集、监视和评审与实现公司宗旨和战略相关的内外部信息，对相关方及其要求，收集并对相关信息进行监视和评审，制定应对风险、机会的措施，并通过内部审核、管理评审等形式对所制定措施的实施情况和有效性进行监视和评价。</w:t>
            </w:r>
          </w:p>
          <w:p>
            <w:pPr>
              <w:spacing w:line="360" w:lineRule="auto"/>
              <w:ind w:firstLine="210" w:firstLineChars="100"/>
              <w:rPr>
                <w:rFonts w:hint="eastAsia" w:ascii="宋体" w:hAnsi="宋体" w:cs="宋体"/>
                <w:szCs w:val="21"/>
              </w:rPr>
            </w:pPr>
            <w:r>
              <w:rPr>
                <w:rFonts w:hint="eastAsia" w:ascii="宋体" w:hAnsi="宋体" w:cs="宋体"/>
                <w:szCs w:val="21"/>
              </w:rPr>
              <w:t>1)外部因素主要有：法律、监管、金融、技术、经济、自然环境和市场竞争环境；影响公司管理目标的主要驱动和趋势；与外部利益相关者的价值观的关系。如国家政策、标准、法律法规及其他要求的变动等。</w:t>
            </w:r>
          </w:p>
          <w:p>
            <w:pPr>
              <w:spacing w:line="360" w:lineRule="auto"/>
              <w:ind w:firstLine="210" w:firstLineChars="100"/>
              <w:rPr>
                <w:rFonts w:hint="eastAsia" w:ascii="宋体" w:hAnsi="宋体" w:cs="宋体"/>
                <w:szCs w:val="21"/>
              </w:rPr>
            </w:pPr>
            <w:r>
              <w:rPr>
                <w:rFonts w:hint="eastAsia" w:ascii="宋体" w:hAnsi="宋体" w:cs="宋体"/>
                <w:szCs w:val="21"/>
              </w:rPr>
              <w:t>2)内部因素包括：组织机构，角色和责任；政策、目标、实现目标的战略；能力、资源和知识（资本、时间、人、能力、流程、系统和技术等）；内部利益相关者的价值观与组织文化之间的关系；信息系统、信息流和决策流程；控制过程。</w:t>
            </w:r>
          </w:p>
          <w:p>
            <w:pPr>
              <w:spacing w:line="360" w:lineRule="auto"/>
              <w:ind w:firstLine="210" w:firstLineChars="100"/>
              <w:rPr>
                <w:rFonts w:ascii="宋体" w:hAnsi="宋体" w:cs="宋体"/>
                <w:szCs w:val="21"/>
              </w:rPr>
            </w:pPr>
            <w:r>
              <w:rPr>
                <w:rFonts w:hint="eastAsia" w:ascii="宋体" w:hAnsi="宋体" w:cs="宋体"/>
                <w:szCs w:val="21"/>
              </w:rPr>
              <w:t>在策划管理体系时考虑了风险和机遇以及相应的应对措施，制定了风险和机遇的应对方案，明确风险和机遇事件的识别方法/途径、风险和机遇事件的评估方式、制定主要风险和机遇事件的应对措施的要求、评价这些措施有效性的方法。</w:t>
            </w:r>
          </w:p>
        </w:tc>
        <w:tc>
          <w:tcPr>
            <w:tcW w:w="1585"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420" w:firstLineChars="200"/>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b/>
                <w:szCs w:val="21"/>
              </w:rPr>
            </w:pPr>
            <w:r>
              <w:rPr>
                <w:rFonts w:hint="eastAsia" w:ascii="宋体" w:hAnsi="宋体"/>
                <w:szCs w:val="21"/>
              </w:rPr>
              <w:t>目标及其实现的策划</w:t>
            </w:r>
          </w:p>
        </w:tc>
        <w:tc>
          <w:tcPr>
            <w:tcW w:w="960" w:type="dxa"/>
          </w:tcPr>
          <w:p>
            <w:pPr>
              <w:spacing w:line="360" w:lineRule="auto"/>
              <w:jc w:val="left"/>
              <w:rPr>
                <w:rFonts w:hint="eastAsia" w:asciiTheme="minorEastAsia" w:hAnsiTheme="minorEastAsia" w:eastAsiaTheme="minorEastAsia"/>
                <w:szCs w:val="24"/>
              </w:rPr>
            </w:pPr>
          </w:p>
          <w:p>
            <w:pPr>
              <w:spacing w:line="360" w:lineRule="auto"/>
              <w:jc w:val="left"/>
              <w:rPr>
                <w:rFonts w:hint="eastAsia" w:asciiTheme="minorEastAsia" w:hAnsiTheme="minorEastAsia" w:eastAsiaTheme="minorEastAsia"/>
                <w:szCs w:val="24"/>
              </w:rPr>
            </w:pP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6.2</w:t>
            </w:r>
          </w:p>
          <w:p>
            <w:pPr>
              <w:pStyle w:val="3"/>
              <w:rPr>
                <w:rFonts w:hint="eastAsia"/>
                <w:lang w:val="en-US" w:eastAsia="zh-CN"/>
              </w:rPr>
            </w:pPr>
          </w:p>
          <w:p>
            <w:pPr>
              <w:spacing w:line="360" w:lineRule="auto"/>
              <w:rPr>
                <w:b/>
                <w:szCs w:val="21"/>
              </w:rPr>
            </w:pPr>
          </w:p>
        </w:tc>
        <w:tc>
          <w:tcPr>
            <w:tcW w:w="10004" w:type="dxa"/>
          </w:tcPr>
          <w:p>
            <w:pPr>
              <w:numPr>
                <w:ilvl w:val="0"/>
                <w:numId w:val="0"/>
              </w:numPr>
              <w:spacing w:line="360" w:lineRule="auto"/>
              <w:rPr>
                <w:rFonts w:hint="eastAsia" w:ascii="宋体" w:hAnsi="宋体" w:cs="宋体"/>
                <w:color w:val="000000"/>
                <w:szCs w:val="21"/>
              </w:rPr>
            </w:pPr>
            <w:r>
              <w:rPr>
                <w:rFonts w:hint="eastAsia" w:ascii="宋体" w:hAnsi="宋体" w:cs="宋体"/>
                <w:color w:val="000000"/>
                <w:szCs w:val="21"/>
                <w:lang w:val="en-US" w:eastAsia="zh-CN"/>
              </w:rPr>
              <w:t>质量</w:t>
            </w:r>
            <w:r>
              <w:rPr>
                <w:rFonts w:hint="eastAsia" w:ascii="宋体" w:hAnsi="宋体" w:cs="宋体"/>
                <w:color w:val="000000"/>
                <w:szCs w:val="21"/>
              </w:rPr>
              <w:t>目标：</w:t>
            </w:r>
          </w:p>
          <w:p>
            <w:pPr>
              <w:autoSpaceDE w:val="0"/>
              <w:autoSpaceDN w:val="0"/>
              <w:adjustRightInd w:val="0"/>
              <w:spacing w:line="360" w:lineRule="auto"/>
              <w:rPr>
                <w:rFonts w:hint="eastAsia" w:hAnsi="宋体" w:cs="宋体"/>
                <w:color w:val="000000"/>
              </w:rPr>
            </w:pPr>
            <w:bookmarkStart w:id="1" w:name="_GoBack"/>
            <w:r>
              <w:rPr>
                <w:rFonts w:hint="eastAsia" w:hAnsi="宋体" w:cs="宋体"/>
                <w:color w:val="000000"/>
              </w:rPr>
              <w:t>1)</w:t>
            </w:r>
            <w:r>
              <w:rPr>
                <w:rFonts w:hint="eastAsia" w:hAnsi="宋体" w:cs="宋体"/>
                <w:color w:val="000000"/>
              </w:rPr>
              <w:tab/>
            </w:r>
            <w:r>
              <w:rPr>
                <w:rFonts w:hint="eastAsia" w:hAnsi="宋体" w:cs="宋体"/>
                <w:color w:val="000000"/>
              </w:rPr>
              <w:t>产品出厂合格率100%</w:t>
            </w:r>
          </w:p>
          <w:p>
            <w:pPr>
              <w:autoSpaceDE w:val="0"/>
              <w:autoSpaceDN w:val="0"/>
              <w:adjustRightInd w:val="0"/>
              <w:spacing w:line="360" w:lineRule="auto"/>
              <w:rPr>
                <w:rFonts w:hint="eastAsia" w:hAnsi="宋体" w:cs="宋体"/>
                <w:color w:val="000000"/>
              </w:rPr>
            </w:pPr>
            <w:r>
              <w:rPr>
                <w:rFonts w:hint="eastAsia" w:hAnsi="宋体" w:cs="宋体"/>
                <w:color w:val="000000"/>
              </w:rPr>
              <w:t>2)</w:t>
            </w:r>
            <w:r>
              <w:rPr>
                <w:rFonts w:hint="eastAsia" w:hAnsi="宋体" w:cs="宋体"/>
                <w:color w:val="000000"/>
              </w:rPr>
              <w:tab/>
            </w:r>
            <w:r>
              <w:rPr>
                <w:rFonts w:hint="eastAsia" w:hAnsi="宋体" w:cs="宋体"/>
                <w:color w:val="000000"/>
              </w:rPr>
              <w:t>顾客满意程度</w:t>
            </w:r>
            <w:r>
              <w:rPr>
                <w:rFonts w:hint="default" w:hAnsi="宋体" w:eastAsia="宋体" w:cs="宋体"/>
                <w:color w:val="000000"/>
              </w:rPr>
              <w:t>≥</w:t>
            </w:r>
            <w:r>
              <w:rPr>
                <w:rFonts w:hint="eastAsia" w:hAnsi="宋体" w:eastAsia="宋体" w:cs="宋体"/>
                <w:color w:val="000000"/>
              </w:rPr>
              <w:t>9</w:t>
            </w:r>
            <w:r>
              <w:rPr>
                <w:rFonts w:hint="eastAsia" w:hAnsi="宋体" w:eastAsia="宋体" w:cs="宋体"/>
                <w:color w:val="000000"/>
                <w:lang w:val="en-US" w:eastAsia="zh-CN"/>
              </w:rPr>
              <w:t>0</w:t>
            </w:r>
            <w:r>
              <w:rPr>
                <w:rFonts w:hint="eastAsia" w:hAnsi="宋体" w:cs="宋体"/>
                <w:color w:val="000000"/>
              </w:rPr>
              <w:t>%以上。</w:t>
            </w:r>
          </w:p>
          <w:p>
            <w:pPr>
              <w:autoSpaceDE w:val="0"/>
              <w:autoSpaceDN w:val="0"/>
              <w:adjustRightInd w:val="0"/>
              <w:spacing w:line="360" w:lineRule="auto"/>
              <w:rPr>
                <w:rFonts w:hint="eastAsia" w:hAnsi="宋体" w:cs="宋体"/>
                <w:color w:val="000000"/>
              </w:rPr>
            </w:pPr>
            <w:r>
              <w:rPr>
                <w:rFonts w:hint="eastAsia" w:hAnsi="宋体" w:cs="宋体"/>
                <w:color w:val="000000"/>
              </w:rPr>
              <w:t>3)</w:t>
            </w:r>
            <w:r>
              <w:rPr>
                <w:rFonts w:hint="eastAsia" w:hAnsi="宋体" w:cs="宋体"/>
                <w:color w:val="000000"/>
              </w:rPr>
              <w:tab/>
            </w:r>
            <w:r>
              <w:rPr>
                <w:rFonts w:hint="eastAsia" w:hAnsi="宋体" w:cs="宋体"/>
                <w:color w:val="000000"/>
              </w:rPr>
              <w:t>产品研发按时完成率100%</w:t>
            </w:r>
          </w:p>
          <w:bookmarkEnd w:id="1"/>
          <w:p>
            <w:pPr>
              <w:pStyle w:val="9"/>
              <w:spacing w:line="360" w:lineRule="auto"/>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val="en-US" w:eastAsia="zh-CN"/>
              </w:rPr>
              <w:t xml:space="preserve"> </w:t>
            </w:r>
            <w:r>
              <w:rPr>
                <w:rFonts w:hint="eastAsia" w:ascii="宋体" w:hAnsi="宋体"/>
                <w:color w:val="auto"/>
                <w:kern w:val="2"/>
                <w:sz w:val="21"/>
                <w:szCs w:val="21"/>
              </w:rPr>
              <w:t>2022年3月25日</w:t>
            </w:r>
            <w:r>
              <w:rPr>
                <w:rFonts w:hint="eastAsia" w:ascii="宋体" w:hAnsi="宋体"/>
                <w:color w:val="auto"/>
                <w:kern w:val="2"/>
                <w:sz w:val="21"/>
                <w:szCs w:val="21"/>
                <w:lang w:eastAsia="zh-CN"/>
              </w:rPr>
              <w:t>，</w:t>
            </w:r>
            <w:r>
              <w:rPr>
                <w:rFonts w:hint="eastAsia" w:ascii="宋体" w:hAnsi="宋体"/>
                <w:color w:val="auto"/>
                <w:kern w:val="2"/>
                <w:sz w:val="21"/>
                <w:szCs w:val="21"/>
                <w:lang w:val="en-US" w:eastAsia="zh-CN"/>
              </w:rPr>
              <w:t>统计</w:t>
            </w:r>
            <w:r>
              <w:rPr>
                <w:rFonts w:hint="eastAsia" w:ascii="宋体" w:hAnsi="宋体"/>
                <w:color w:val="auto"/>
                <w:kern w:val="2"/>
                <w:sz w:val="21"/>
                <w:szCs w:val="21"/>
              </w:rPr>
              <w:t>20</w:t>
            </w:r>
            <w:r>
              <w:rPr>
                <w:rFonts w:hint="eastAsia" w:ascii="宋体" w:hAnsi="宋体"/>
                <w:color w:val="auto"/>
                <w:kern w:val="2"/>
                <w:sz w:val="21"/>
                <w:szCs w:val="21"/>
                <w:lang w:val="en-US" w:eastAsia="zh-CN"/>
              </w:rPr>
              <w:t>21</w:t>
            </w:r>
            <w:r>
              <w:rPr>
                <w:rFonts w:hint="eastAsia" w:ascii="宋体" w:hAnsi="宋体"/>
                <w:color w:val="auto"/>
                <w:kern w:val="2"/>
                <w:sz w:val="21"/>
                <w:szCs w:val="21"/>
              </w:rPr>
              <w:t>年</w:t>
            </w:r>
            <w:r>
              <w:rPr>
                <w:rFonts w:hint="eastAsia" w:ascii="宋体" w:hAnsi="宋体"/>
                <w:color w:val="auto"/>
                <w:kern w:val="2"/>
                <w:sz w:val="21"/>
                <w:szCs w:val="21"/>
                <w:lang w:val="en-US" w:eastAsia="zh-CN"/>
              </w:rPr>
              <w:t>4</w:t>
            </w:r>
            <w:r>
              <w:rPr>
                <w:rFonts w:hint="eastAsia" w:ascii="宋体" w:hAnsi="宋体"/>
                <w:color w:val="auto"/>
                <w:kern w:val="2"/>
                <w:sz w:val="21"/>
                <w:szCs w:val="21"/>
              </w:rPr>
              <w:t>月-20</w:t>
            </w:r>
            <w:r>
              <w:rPr>
                <w:rFonts w:hint="eastAsia" w:ascii="宋体" w:hAnsi="宋体"/>
                <w:color w:val="auto"/>
                <w:kern w:val="2"/>
                <w:sz w:val="21"/>
                <w:szCs w:val="21"/>
                <w:lang w:val="en-US" w:eastAsia="zh-CN"/>
              </w:rPr>
              <w:t>22</w:t>
            </w:r>
            <w:r>
              <w:rPr>
                <w:rFonts w:hint="eastAsia" w:ascii="宋体" w:hAnsi="宋体"/>
                <w:color w:val="auto"/>
                <w:kern w:val="2"/>
                <w:sz w:val="21"/>
                <w:szCs w:val="21"/>
              </w:rPr>
              <w:t>年</w:t>
            </w:r>
            <w:r>
              <w:rPr>
                <w:rFonts w:hint="eastAsia" w:ascii="宋体" w:hAnsi="宋体"/>
                <w:color w:val="auto"/>
                <w:kern w:val="2"/>
                <w:sz w:val="21"/>
                <w:szCs w:val="21"/>
                <w:lang w:val="en-US" w:eastAsia="zh-CN"/>
              </w:rPr>
              <w:t>3</w:t>
            </w:r>
            <w:r>
              <w:rPr>
                <w:rFonts w:hint="eastAsia" w:ascii="宋体" w:hAnsi="宋体"/>
                <w:color w:val="auto"/>
                <w:kern w:val="2"/>
                <w:sz w:val="21"/>
                <w:szCs w:val="21"/>
              </w:rPr>
              <w:t>月对目标进行考核</w:t>
            </w:r>
            <w:r>
              <w:rPr>
                <w:rFonts w:hint="eastAsia" w:ascii="宋体" w:hAnsi="宋体"/>
                <w:color w:val="auto"/>
                <w:kern w:val="2"/>
                <w:sz w:val="21"/>
                <w:szCs w:val="21"/>
                <w:lang w:eastAsia="zh-CN"/>
              </w:rPr>
              <w:t>，</w:t>
            </w:r>
            <w:r>
              <w:rPr>
                <w:rFonts w:hint="eastAsia" w:ascii="宋体" w:hAnsi="宋体"/>
                <w:color w:val="auto"/>
                <w:kern w:val="2"/>
                <w:sz w:val="21"/>
                <w:szCs w:val="21"/>
                <w:lang w:val="en-US" w:eastAsia="zh-CN"/>
              </w:rPr>
              <w:t>考核频次为每月</w:t>
            </w:r>
            <w:r>
              <w:rPr>
                <w:rFonts w:hint="eastAsia" w:ascii="宋体" w:hAnsi="宋体"/>
                <w:color w:val="auto"/>
                <w:kern w:val="2"/>
                <w:sz w:val="21"/>
                <w:szCs w:val="21"/>
              </w:rPr>
              <w:t>，考核情况为：</w:t>
            </w:r>
          </w:p>
          <w:p>
            <w:pPr>
              <w:autoSpaceDE w:val="0"/>
              <w:autoSpaceDN w:val="0"/>
              <w:adjustRightInd w:val="0"/>
              <w:spacing w:line="360" w:lineRule="auto"/>
              <w:rPr>
                <w:rFonts w:hint="eastAsia" w:hAnsi="宋体" w:cs="宋体"/>
                <w:color w:val="000000"/>
              </w:rPr>
            </w:pPr>
            <w:r>
              <w:rPr>
                <w:rFonts w:hint="eastAsia" w:hAnsi="宋体" w:cs="宋体"/>
                <w:color w:val="000000"/>
              </w:rPr>
              <w:t>1)</w:t>
            </w:r>
            <w:r>
              <w:rPr>
                <w:rFonts w:hint="eastAsia" w:hAnsi="宋体" w:cs="宋体"/>
                <w:color w:val="000000"/>
              </w:rPr>
              <w:tab/>
            </w:r>
            <w:r>
              <w:rPr>
                <w:rFonts w:hint="eastAsia" w:hAnsi="宋体" w:cs="宋体"/>
                <w:color w:val="000000"/>
              </w:rPr>
              <w:t>产品出厂合格率</w:t>
            </w:r>
            <w:r>
              <w:rPr>
                <w:rFonts w:hint="eastAsia" w:hAnsi="宋体" w:cs="宋体"/>
                <w:color w:val="000000"/>
                <w:lang w:val="en-US" w:eastAsia="zh-CN"/>
              </w:rPr>
              <w:t xml:space="preserve">  </w:t>
            </w:r>
            <w:r>
              <w:rPr>
                <w:rFonts w:hint="eastAsia" w:hAnsi="宋体" w:cs="宋体"/>
                <w:color w:val="000000"/>
              </w:rPr>
              <w:t>100%</w:t>
            </w:r>
          </w:p>
          <w:p>
            <w:pPr>
              <w:autoSpaceDE w:val="0"/>
              <w:autoSpaceDN w:val="0"/>
              <w:adjustRightInd w:val="0"/>
              <w:spacing w:line="360" w:lineRule="auto"/>
              <w:rPr>
                <w:rFonts w:hint="eastAsia" w:hAnsi="宋体" w:eastAsia="宋体" w:cs="宋体"/>
                <w:color w:val="000000"/>
                <w:lang w:eastAsia="zh-CN"/>
              </w:rPr>
            </w:pPr>
            <w:r>
              <w:rPr>
                <w:rFonts w:hint="eastAsia" w:hAnsi="宋体" w:cs="宋体"/>
                <w:color w:val="000000"/>
              </w:rPr>
              <w:t>2)</w:t>
            </w:r>
            <w:r>
              <w:rPr>
                <w:rFonts w:hint="eastAsia" w:hAnsi="宋体" w:cs="宋体"/>
                <w:color w:val="000000"/>
              </w:rPr>
              <w:tab/>
            </w:r>
            <w:r>
              <w:rPr>
                <w:rFonts w:hint="eastAsia" w:hAnsi="宋体" w:cs="宋体"/>
                <w:color w:val="000000"/>
              </w:rPr>
              <w:t>顾客满意程度</w:t>
            </w:r>
            <w:r>
              <w:rPr>
                <w:rFonts w:hint="eastAsia" w:hAnsi="宋体" w:cs="宋体"/>
                <w:color w:val="000000"/>
                <w:lang w:val="en-US" w:eastAsia="zh-CN"/>
              </w:rPr>
              <w:t xml:space="preserve">    </w:t>
            </w:r>
            <w:r>
              <w:rPr>
                <w:rFonts w:hint="eastAsia" w:hAnsi="宋体" w:eastAsia="宋体" w:cs="宋体"/>
                <w:color w:val="000000"/>
              </w:rPr>
              <w:t>9</w:t>
            </w:r>
            <w:r>
              <w:rPr>
                <w:rFonts w:hint="eastAsia" w:hAnsi="宋体" w:cs="宋体"/>
                <w:color w:val="000000"/>
                <w:lang w:val="en-US" w:eastAsia="zh-CN"/>
              </w:rPr>
              <w:t>1</w:t>
            </w:r>
            <w:r>
              <w:rPr>
                <w:rFonts w:hint="eastAsia" w:hAnsi="宋体" w:cs="宋体"/>
                <w:color w:val="000000"/>
              </w:rPr>
              <w:t>%</w:t>
            </w:r>
            <w:r>
              <w:rPr>
                <w:rFonts w:hint="eastAsia" w:hAnsi="宋体" w:cs="宋体"/>
                <w:color w:val="000000"/>
                <w:lang w:val="en-US" w:eastAsia="zh-CN"/>
              </w:rPr>
              <w:t xml:space="preserve"> </w:t>
            </w:r>
          </w:p>
          <w:p>
            <w:pPr>
              <w:autoSpaceDE w:val="0"/>
              <w:autoSpaceDN w:val="0"/>
              <w:adjustRightInd w:val="0"/>
              <w:spacing w:line="360" w:lineRule="auto"/>
              <w:rPr>
                <w:rFonts w:hint="eastAsia" w:hAnsi="宋体" w:cs="宋体"/>
                <w:color w:val="000000"/>
              </w:rPr>
            </w:pPr>
            <w:r>
              <w:rPr>
                <w:rFonts w:hint="eastAsia" w:hAnsi="宋体" w:cs="宋体"/>
                <w:color w:val="000000"/>
              </w:rPr>
              <w:t>3)</w:t>
            </w:r>
            <w:r>
              <w:rPr>
                <w:rFonts w:hint="eastAsia" w:hAnsi="宋体" w:cs="宋体"/>
                <w:color w:val="000000"/>
              </w:rPr>
              <w:tab/>
            </w:r>
            <w:r>
              <w:rPr>
                <w:rFonts w:hint="eastAsia" w:hAnsi="宋体" w:cs="宋体"/>
                <w:color w:val="000000"/>
              </w:rPr>
              <w:t>产品研发按时完成率</w:t>
            </w:r>
            <w:r>
              <w:rPr>
                <w:rFonts w:hint="eastAsia" w:hAnsi="宋体" w:cs="宋体"/>
                <w:color w:val="000000"/>
                <w:lang w:val="en-US" w:eastAsia="zh-CN"/>
              </w:rPr>
              <w:t xml:space="preserve">  </w:t>
            </w:r>
            <w:r>
              <w:rPr>
                <w:rFonts w:hint="eastAsia" w:hAnsi="宋体" w:cs="宋体"/>
                <w:color w:val="000000"/>
              </w:rPr>
              <w:t>100%</w:t>
            </w:r>
          </w:p>
          <w:p>
            <w:pPr>
              <w:spacing w:line="360" w:lineRule="auto"/>
              <w:ind w:firstLine="210" w:firstLineChars="100"/>
              <w:rPr>
                <w:rFonts w:ascii="宋体" w:hAnsi="宋体"/>
                <w:szCs w:val="21"/>
              </w:rPr>
            </w:pPr>
            <w:r>
              <w:rPr>
                <w:rFonts w:hint="eastAsia" w:ascii="宋体" w:hAnsi="宋体" w:cs="宋体"/>
                <w:szCs w:val="21"/>
              </w:rPr>
              <w:t>均达到目标，并将指标进行了分解。</w:t>
            </w:r>
          </w:p>
        </w:tc>
        <w:tc>
          <w:tcPr>
            <w:tcW w:w="1585" w:type="dxa"/>
          </w:tcPr>
          <w:p>
            <w:pPr>
              <w:rPr>
                <w:rFonts w:hint="eastAsia"/>
                <w:lang w:val="en-US" w:eastAsia="zh-CN"/>
              </w:rPr>
            </w:pPr>
          </w:p>
          <w:p>
            <w:pPr>
              <w:rPr>
                <w:rFonts w:hint="eastAsia"/>
                <w:lang w:val="en-US" w:eastAsia="zh-CN"/>
              </w:rPr>
            </w:pPr>
          </w:p>
          <w:p>
            <w:pPr>
              <w:ind w:firstLine="420" w:firstLineChars="200"/>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hint="eastAsia"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变更的策划</w:t>
            </w:r>
          </w:p>
          <w:p>
            <w:pPr>
              <w:spacing w:line="280" w:lineRule="exact"/>
              <w:rPr>
                <w:rFonts w:hint="eastAsia" w:ascii="宋体" w:hAnsi="宋体"/>
                <w:szCs w:val="21"/>
              </w:rPr>
            </w:pPr>
          </w:p>
        </w:tc>
        <w:tc>
          <w:tcPr>
            <w:tcW w:w="960" w:type="dxa"/>
            <w:vAlign w:val="top"/>
          </w:tcPr>
          <w:p>
            <w:pPr>
              <w:spacing w:line="280" w:lineRule="exact"/>
              <w:rPr>
                <w:rFonts w:hint="eastAsia" w:asciiTheme="minorEastAsia" w:hAnsiTheme="minorEastAsia" w:eastAsiaTheme="minorEastAsia"/>
                <w:szCs w:val="21"/>
              </w:rPr>
            </w:pP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6.3</w:t>
            </w:r>
          </w:p>
          <w:p>
            <w:pPr>
              <w:spacing w:line="280" w:lineRule="exact"/>
              <w:rPr>
                <w:b/>
                <w:szCs w:val="21"/>
              </w:rPr>
            </w:pPr>
          </w:p>
        </w:tc>
        <w:tc>
          <w:tcPr>
            <w:tcW w:w="10004" w:type="dxa"/>
            <w:vAlign w:val="center"/>
          </w:tcPr>
          <w:p>
            <w:pPr>
              <w:spacing w:line="360" w:lineRule="auto"/>
              <w:rPr>
                <w:rFonts w:hint="eastAsia" w:ascii="宋体" w:hAnsi="宋体" w:cs="宋体"/>
                <w:szCs w:val="21"/>
              </w:rPr>
            </w:pPr>
            <w:r>
              <w:rPr>
                <w:rFonts w:hint="eastAsia"/>
              </w:rPr>
              <w:t xml:space="preserve"> </w:t>
            </w:r>
            <w:r>
              <w:rPr>
                <w:rFonts w:hint="eastAsia" w:ascii="Times New Roman" w:hAnsi="宋体" w:cs="宋体"/>
                <w:color w:val="000000"/>
              </w:rPr>
              <w:t>公司建立质量管理体系实施日期：2021.</w:t>
            </w:r>
            <w:r>
              <w:rPr>
                <w:rFonts w:hint="eastAsia" w:ascii="Times New Roman" w:hAnsi="宋体" w:cs="宋体"/>
                <w:color w:val="000000"/>
                <w:lang w:val="en-US" w:eastAsia="zh-CN"/>
              </w:rPr>
              <w:t>4</w:t>
            </w:r>
            <w:r>
              <w:rPr>
                <w:rFonts w:hint="eastAsia" w:ascii="Times New Roman" w:hAnsi="宋体" w:cs="宋体"/>
                <w:color w:val="000000"/>
              </w:rPr>
              <w:t>.10，负责人明确公司确定需要对管理体系进行变更时，应经策划并系统的实施，考虑变更目的及其潜在后果、管理体系的完整性、资源的可获得性、责任和权限的分配与再分配，体系运行以来无变更。</w:t>
            </w:r>
          </w:p>
        </w:tc>
        <w:tc>
          <w:tcPr>
            <w:tcW w:w="1585" w:type="dxa"/>
          </w:tcPr>
          <w:p>
            <w:pPr>
              <w:rPr>
                <w:rFonts w:hint="eastAsia"/>
                <w:lang w:val="en-US" w:eastAsia="zh-CN"/>
              </w:rPr>
            </w:pPr>
          </w:p>
          <w:p>
            <w:pPr>
              <w:ind w:firstLine="420" w:firstLineChars="200"/>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szCs w:val="21"/>
              </w:rPr>
            </w:pPr>
            <w:r>
              <w:rPr>
                <w:rFonts w:hint="eastAsia" w:ascii="宋体" w:hAnsi="宋体" w:cs="Arial"/>
                <w:spacing w:val="-6"/>
                <w:szCs w:val="21"/>
              </w:rPr>
              <w:t>资源总则</w:t>
            </w:r>
          </w:p>
        </w:tc>
        <w:tc>
          <w:tcPr>
            <w:tcW w:w="960" w:type="dxa"/>
            <w:vAlign w:val="top"/>
          </w:tcPr>
          <w:p>
            <w:pPr>
              <w:spacing w:line="360" w:lineRule="auto"/>
              <w:rPr>
                <w:rFonts w:ascii="宋体" w:hAnsi="宋体"/>
                <w:szCs w:val="21"/>
              </w:rPr>
            </w:pPr>
            <w:r>
              <w:rPr>
                <w:rFonts w:hint="eastAsia" w:ascii="宋体" w:hAnsi="宋体" w:cs="Arial"/>
                <w:spacing w:val="-6"/>
                <w:szCs w:val="21"/>
              </w:rPr>
              <w:t>7.1.1</w:t>
            </w:r>
          </w:p>
        </w:tc>
        <w:tc>
          <w:tcPr>
            <w:tcW w:w="10004" w:type="dxa"/>
            <w:vAlign w:val="center"/>
          </w:tcPr>
          <w:p>
            <w:pPr>
              <w:spacing w:line="360" w:lineRule="auto"/>
              <w:ind w:firstLine="420" w:firstLineChars="200"/>
              <w:jc w:val="left"/>
            </w:pPr>
            <w:r>
              <w:rPr>
                <w:rFonts w:hint="eastAsia"/>
              </w:rPr>
              <w:t>公司配备了必要的厂房设施、人力资源、设备、办公用品等及规范文件、资金等必要的资源，能够持续满足顾客需求和管理体系运行改进的需要；</w:t>
            </w:r>
          </w:p>
          <w:p>
            <w:pPr>
              <w:spacing w:line="360" w:lineRule="auto"/>
              <w:ind w:firstLine="420" w:firstLineChars="200"/>
              <w:rPr>
                <w:rFonts w:ascii="宋体" w:hAnsi="宋体"/>
                <w:szCs w:val="21"/>
              </w:rPr>
            </w:pPr>
            <w:r>
              <w:rPr>
                <w:rFonts w:hint="eastAsia"/>
              </w:rPr>
              <w:t>目前资源能够满足当前实际需要。</w:t>
            </w:r>
          </w:p>
        </w:tc>
        <w:tc>
          <w:tcPr>
            <w:tcW w:w="1585" w:type="dxa"/>
          </w:tcPr>
          <w:p>
            <w:pPr>
              <w:rPr>
                <w:rFonts w:hint="eastAsia"/>
                <w:lang w:val="en-US" w:eastAsia="zh-CN"/>
              </w:rPr>
            </w:pPr>
          </w:p>
          <w:p>
            <w:pPr>
              <w:ind w:firstLine="420" w:firstLineChars="200"/>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spacing w:line="360" w:lineRule="auto"/>
              <w:rPr>
                <w:rFonts w:ascii="宋体" w:hAnsi="宋体"/>
                <w:szCs w:val="21"/>
              </w:rPr>
            </w:pPr>
            <w:r>
              <w:rPr>
                <w:rFonts w:hint="eastAsia" w:ascii="宋体" w:hAnsi="宋体" w:cs="Arial"/>
                <w:spacing w:val="-6"/>
                <w:szCs w:val="21"/>
              </w:rPr>
              <w:t>沟通</w:t>
            </w:r>
          </w:p>
        </w:tc>
        <w:tc>
          <w:tcPr>
            <w:tcW w:w="960" w:type="dxa"/>
            <w:vAlign w:val="top"/>
          </w:tcPr>
          <w:p>
            <w:pPr>
              <w:spacing w:line="360" w:lineRule="auto"/>
              <w:rPr>
                <w:rFonts w:ascii="宋体" w:hAnsi="宋体"/>
                <w:szCs w:val="21"/>
              </w:rPr>
            </w:pPr>
            <w:r>
              <w:rPr>
                <w:rFonts w:cs="Arial" w:asciiTheme="minorEastAsia" w:hAnsiTheme="minorEastAsia" w:eastAsiaTheme="minorEastAsia"/>
                <w:spacing w:val="-6"/>
                <w:szCs w:val="24"/>
              </w:rPr>
              <w:t xml:space="preserve"> 7.4</w:t>
            </w:r>
          </w:p>
        </w:tc>
        <w:tc>
          <w:tcPr>
            <w:tcW w:w="10004" w:type="dxa"/>
            <w:vAlign w:val="center"/>
          </w:tcPr>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公司建立沟通渠道并进行管理，明确职责、工作流程，包括内部沟通和外部沟通的方法和要求。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公司确定了质量管理体系相关的内部和外部沟通，包括：沟通什么；何时沟通；与谁沟通；如何沟通；由谁负责，内外部沟通具体体现在公司内部工作会议、质量会议、员工的培训、公司宣传栏等；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与外部的沟通具体体现在合同签订、满意度调查，与质检及顾客和供方等进行沟通。</w:t>
            </w:r>
          </w:p>
          <w:p>
            <w:pPr>
              <w:spacing w:line="360" w:lineRule="auto"/>
              <w:ind w:firstLine="420" w:firstLineChars="200"/>
              <w:rPr>
                <w:rFonts w:ascii="宋体" w:hAnsi="宋体"/>
                <w:szCs w:val="21"/>
              </w:rPr>
            </w:pPr>
            <w:r>
              <w:rPr>
                <w:rFonts w:hint="eastAsia" w:asciiTheme="minorEastAsia" w:hAnsiTheme="minorEastAsia" w:eastAsiaTheme="minorEastAsia"/>
                <w:szCs w:val="21"/>
              </w:rPr>
              <w:t>现场查阅内部交流：方针、目标完成情况、内审和管理评审报告、不符合信息等。</w:t>
            </w:r>
          </w:p>
        </w:tc>
        <w:tc>
          <w:tcPr>
            <w:tcW w:w="1585" w:type="dxa"/>
          </w:tcPr>
          <w:p>
            <w:pPr>
              <w:rPr>
                <w:rFonts w:hint="eastAsia"/>
                <w:lang w:val="en-US" w:eastAsia="zh-CN"/>
              </w:rPr>
            </w:pPr>
          </w:p>
          <w:p>
            <w:pPr>
              <w:ind w:firstLine="420" w:firstLineChars="200"/>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spacing w:line="360" w:lineRule="auto"/>
              <w:jc w:val="left"/>
              <w:rPr>
                <w:rFonts w:cs="宋体" w:asciiTheme="minorEastAsia" w:hAnsiTheme="minorEastAsia" w:eastAsiaTheme="minorEastAsia"/>
                <w:szCs w:val="21"/>
              </w:rPr>
            </w:pPr>
          </w:p>
          <w:p>
            <w:pPr>
              <w:spacing w:line="360" w:lineRule="auto"/>
              <w:jc w:val="left"/>
              <w:rPr>
                <w:rFonts w:hint="eastAsia" w:ascii="宋体" w:hAnsi="宋体" w:cs="Arial"/>
                <w:spacing w:val="-6"/>
                <w:szCs w:val="21"/>
              </w:rPr>
            </w:pPr>
            <w:r>
              <w:rPr>
                <w:rFonts w:hint="eastAsia" w:cs="宋体" w:asciiTheme="minorEastAsia" w:hAnsiTheme="minorEastAsia" w:eastAsiaTheme="minorEastAsia"/>
                <w:szCs w:val="21"/>
              </w:rPr>
              <w:t>分析与评价</w:t>
            </w:r>
          </w:p>
        </w:tc>
        <w:tc>
          <w:tcPr>
            <w:tcW w:w="960" w:type="dxa"/>
            <w:vAlign w:val="top"/>
          </w:tcPr>
          <w:p>
            <w:pPr>
              <w:spacing w:line="360" w:lineRule="auto"/>
              <w:ind w:firstLine="420" w:firstLineChars="200"/>
              <w:jc w:val="left"/>
              <w:rPr>
                <w:rFonts w:cs="宋体" w:asciiTheme="minorEastAsia" w:hAnsiTheme="minorEastAsia" w:eastAsiaTheme="minorEastAsia"/>
                <w:szCs w:val="21"/>
              </w:rPr>
            </w:pPr>
          </w:p>
          <w:p>
            <w:pPr>
              <w:spacing w:line="360" w:lineRule="auto"/>
              <w:jc w:val="left"/>
              <w:rPr>
                <w:rFonts w:cs="Arial" w:asciiTheme="minorEastAsia" w:hAnsiTheme="minorEastAsia" w:eastAsiaTheme="minorEastAsia"/>
                <w:spacing w:val="-6"/>
                <w:szCs w:val="24"/>
              </w:rPr>
            </w:pPr>
            <w:r>
              <w:rPr>
                <w:rFonts w:hint="eastAsia" w:cs="宋体" w:asciiTheme="minorEastAsia" w:hAnsiTheme="minorEastAsia" w:eastAsiaTheme="minorEastAsia"/>
                <w:szCs w:val="21"/>
              </w:rPr>
              <w:t>9.1.3</w:t>
            </w:r>
          </w:p>
        </w:tc>
        <w:tc>
          <w:tcPr>
            <w:tcW w:w="10004" w:type="dxa"/>
            <w:vAlign w:val="top"/>
          </w:tcPr>
          <w:p>
            <w:pPr>
              <w:spacing w:line="360" w:lineRule="auto"/>
              <w:rPr>
                <w:szCs w:val="21"/>
              </w:rPr>
            </w:pPr>
            <w:r>
              <w:rPr>
                <w:rFonts w:hint="eastAsia"/>
                <w:szCs w:val="21"/>
              </w:rPr>
              <w:t>公司确定的分析与评价内容包括：</w:t>
            </w:r>
          </w:p>
          <w:p>
            <w:pPr>
              <w:spacing w:line="360" w:lineRule="auto"/>
              <w:ind w:left="357"/>
              <w:rPr>
                <w:rFonts w:cs="宋体" w:asciiTheme="minorEastAsia" w:hAnsiTheme="minorEastAsia" w:eastAsiaTheme="minorEastAsia"/>
                <w:szCs w:val="21"/>
              </w:rPr>
            </w:pPr>
            <w:r>
              <w:rPr>
                <w:rFonts w:hint="eastAsia" w:cs="宋体" w:asciiTheme="minorEastAsia" w:hAnsiTheme="minorEastAsia" w:eastAsiaTheme="minorEastAsia"/>
                <w:szCs w:val="21"/>
              </w:rPr>
              <w:t>a)顾客满意与不满意的程度；</w:t>
            </w:r>
          </w:p>
          <w:p>
            <w:pPr>
              <w:spacing w:line="360" w:lineRule="auto"/>
              <w:ind w:left="357"/>
              <w:rPr>
                <w:rFonts w:cs="宋体" w:asciiTheme="minorEastAsia" w:hAnsiTheme="minorEastAsia" w:eastAsiaTheme="minorEastAsia"/>
                <w:szCs w:val="21"/>
              </w:rPr>
            </w:pPr>
            <w:r>
              <w:rPr>
                <w:rFonts w:hint="eastAsia" w:cs="宋体" w:asciiTheme="minorEastAsia" w:hAnsiTheme="minorEastAsia" w:eastAsiaTheme="minorEastAsia"/>
                <w:szCs w:val="21"/>
              </w:rPr>
              <w:t>b)与产品要求的符合程度；</w:t>
            </w:r>
          </w:p>
          <w:p>
            <w:pPr>
              <w:spacing w:line="360" w:lineRule="auto"/>
              <w:ind w:left="357"/>
              <w:rPr>
                <w:rFonts w:cs="宋体" w:asciiTheme="minorEastAsia" w:hAnsiTheme="minorEastAsia" w:eastAsiaTheme="minorEastAsia"/>
                <w:szCs w:val="21"/>
              </w:rPr>
            </w:pPr>
            <w:r>
              <w:rPr>
                <w:rFonts w:hint="eastAsia" w:cs="宋体" w:asciiTheme="minorEastAsia" w:hAnsiTheme="minorEastAsia" w:eastAsiaTheme="minorEastAsia"/>
                <w:szCs w:val="21"/>
              </w:rPr>
              <w:t>c)质量管理体系过程变化的趋势，以及采取预防措施的机会；</w:t>
            </w:r>
          </w:p>
          <w:p>
            <w:pPr>
              <w:spacing w:line="360" w:lineRule="auto"/>
              <w:ind w:left="357"/>
              <w:rPr>
                <w:rFonts w:cs="宋体" w:asciiTheme="minorEastAsia" w:hAnsiTheme="minorEastAsia" w:eastAsiaTheme="minorEastAsia"/>
                <w:szCs w:val="21"/>
              </w:rPr>
            </w:pPr>
            <w:r>
              <w:rPr>
                <w:rFonts w:hint="eastAsia" w:cs="宋体" w:asciiTheme="minorEastAsia" w:hAnsiTheme="minorEastAsia" w:eastAsiaTheme="minorEastAsia"/>
                <w:szCs w:val="21"/>
              </w:rPr>
              <w:t>d)产品特性变化的趋势，以及采取预防措施的机会；</w:t>
            </w:r>
          </w:p>
          <w:p>
            <w:pPr>
              <w:spacing w:line="360" w:lineRule="auto"/>
              <w:ind w:left="357"/>
              <w:rPr>
                <w:rFonts w:cs="宋体" w:asciiTheme="minorEastAsia" w:hAnsiTheme="minorEastAsia" w:eastAsiaTheme="minorEastAsia"/>
                <w:szCs w:val="21"/>
              </w:rPr>
            </w:pPr>
            <w:r>
              <w:rPr>
                <w:rFonts w:hint="eastAsia" w:cs="宋体" w:asciiTheme="minorEastAsia" w:hAnsiTheme="minorEastAsia" w:eastAsiaTheme="minorEastAsia"/>
                <w:szCs w:val="21"/>
              </w:rPr>
              <w:t>e)涉及与供方的有关信息。</w:t>
            </w:r>
          </w:p>
          <w:p>
            <w:pPr>
              <w:spacing w:line="360" w:lineRule="auto"/>
              <w:ind w:firstLine="420" w:firstLineChars="200"/>
              <w:rPr>
                <w:szCs w:val="21"/>
              </w:rPr>
            </w:pPr>
            <w:r>
              <w:rPr>
                <w:rFonts w:hint="eastAsia"/>
                <w:szCs w:val="21"/>
              </w:rPr>
              <w:t>查近年来质量管理体系运行以来，质量目标均达成；顾客满意度评价达到目标要求；外部供方及时沟通处理和质量经分析均满足要求。</w:t>
            </w:r>
          </w:p>
          <w:p>
            <w:pPr>
              <w:spacing w:line="360" w:lineRule="auto"/>
              <w:ind w:firstLine="420" w:firstLineChars="200"/>
              <w:rPr>
                <w:rFonts w:hint="eastAsia" w:asciiTheme="minorEastAsia" w:hAnsiTheme="minorEastAsia" w:eastAsiaTheme="minorEastAsia"/>
                <w:szCs w:val="21"/>
              </w:rPr>
            </w:pPr>
            <w:r>
              <w:rPr>
                <w:rFonts w:hint="eastAsia"/>
                <w:szCs w:val="21"/>
              </w:rPr>
              <w:t>通过内审评审公司管理体系的策划已有效实施；通过管理评审评价公司应对风险和机遇所采取措施有效，管理体系有效、绩效良好，评价出管理体系改进的需求加强风险管控。</w:t>
            </w:r>
          </w:p>
        </w:tc>
        <w:tc>
          <w:tcPr>
            <w:tcW w:w="1585" w:type="dxa"/>
          </w:tcPr>
          <w:p>
            <w:pPr>
              <w:rPr>
                <w:rFonts w:hint="eastAsia"/>
                <w:lang w:val="en-US" w:eastAsia="zh-CN"/>
              </w:rPr>
            </w:pPr>
          </w:p>
          <w:p>
            <w:pPr>
              <w:ind w:firstLine="420" w:firstLineChars="200"/>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spacing w:line="280" w:lineRule="exact"/>
              <w:rPr>
                <w:rFonts w:hint="eastAsia" w:cs="宋体" w:asciiTheme="minorEastAsia" w:hAnsiTheme="minorEastAsia" w:eastAsiaTheme="minorEastAsia"/>
                <w:szCs w:val="21"/>
              </w:rPr>
            </w:pPr>
          </w:p>
          <w:p>
            <w:pPr>
              <w:spacing w:line="280" w:lineRule="exact"/>
              <w:rPr>
                <w:rFonts w:hint="eastAsia"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管理评审</w:t>
            </w:r>
          </w:p>
          <w:p>
            <w:pPr>
              <w:spacing w:line="280" w:lineRule="exact"/>
              <w:rPr>
                <w:rFonts w:hint="eastAsia" w:ascii="宋体" w:hAnsi="宋体" w:cs="Arial"/>
                <w:spacing w:val="-6"/>
                <w:szCs w:val="21"/>
              </w:rPr>
            </w:pPr>
          </w:p>
        </w:tc>
        <w:tc>
          <w:tcPr>
            <w:tcW w:w="960" w:type="dxa"/>
            <w:vAlign w:val="top"/>
          </w:tcPr>
          <w:p>
            <w:pPr>
              <w:spacing w:line="280" w:lineRule="exac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9.3</w:t>
            </w:r>
          </w:p>
          <w:p>
            <w:pPr>
              <w:spacing w:line="280" w:lineRule="exact"/>
              <w:rPr>
                <w:rFonts w:asciiTheme="minorEastAsia" w:hAnsiTheme="minorEastAsia" w:eastAsiaTheme="minorEastAsia"/>
                <w:szCs w:val="21"/>
              </w:rPr>
            </w:pPr>
          </w:p>
          <w:p>
            <w:pPr>
              <w:spacing w:line="280" w:lineRule="exact"/>
              <w:rPr>
                <w:rFonts w:cs="Arial" w:asciiTheme="minorEastAsia" w:hAnsiTheme="minorEastAsia" w:eastAsiaTheme="minorEastAsia"/>
                <w:spacing w:val="-6"/>
                <w:szCs w:val="24"/>
              </w:rPr>
            </w:pPr>
          </w:p>
        </w:tc>
        <w:tc>
          <w:tcPr>
            <w:tcW w:w="1000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公司建立并实施《管理评审控制程序》，规定管理评审每年进行一次，由总经理决定是否增加管理评审的频次，间隔不超过12个月。</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查阅公司管理评审资料，提供：</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1.管理评审计划</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 xml:space="preserve">评审时间：2021年10月26日进行， 评审目的、依据、评审内容和议程、参加部门或人员、各部门评审准备工作要求， 批准：周振义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按计划的时间实施了管理评审，管理评审输入管理体系运行报告、主要部门报告，包含：管理方针、目标的适宜行和实现情况；管理体系的符合性；内审结果；内外部环境分析及风险应对措施的落实情况；纠正预防措施及持续改进能力；可能影响管理体系的变更；质量事故、顾客满意度及改进建议，变更管理要求、以往管理评审情况等；</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3.管理评审报告：针对评审输入进行分项评审，有评审内容摘要，评审结论；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结论：通过本次评审，最终得出本公司管理体系是适宜的、充分的、有效的，方针和目标是适宜的和有效的。但为了更好的运行体系，特提出以下要求：体系运行过程中全体人员都有责任对体系文件的不适宜之处提出修改建议，来进一步完善体系文件。</w:t>
            </w:r>
          </w:p>
          <w:p>
            <w:pPr>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管理评审符合要求。</w:t>
            </w:r>
          </w:p>
        </w:tc>
        <w:tc>
          <w:tcPr>
            <w:tcW w:w="1585" w:type="dxa"/>
          </w:tcPr>
          <w:p>
            <w:pPr>
              <w:rPr>
                <w:rFonts w:hint="eastAsia"/>
                <w:lang w:val="en-US" w:eastAsia="zh-CN"/>
              </w:rPr>
            </w:pPr>
          </w:p>
          <w:p>
            <w:pPr>
              <w:rPr>
                <w:rFonts w:hint="eastAsia"/>
                <w:lang w:val="en-US" w:eastAsia="zh-CN"/>
              </w:rPr>
            </w:pPr>
          </w:p>
          <w:p>
            <w:pPr>
              <w:ind w:firstLine="420" w:firstLineChars="200"/>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改进总则</w:t>
            </w:r>
          </w:p>
          <w:p>
            <w:pPr>
              <w:spacing w:line="360" w:lineRule="auto"/>
              <w:rPr>
                <w:rFonts w:hint="eastAsia" w:ascii="宋体" w:hAnsi="宋体" w:cs="Arial"/>
                <w:spacing w:val="-6"/>
                <w:szCs w:val="21"/>
              </w:rPr>
            </w:pPr>
          </w:p>
        </w:tc>
        <w:tc>
          <w:tcPr>
            <w:tcW w:w="960" w:type="dxa"/>
            <w:vAlign w:val="top"/>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10.1</w:t>
            </w:r>
          </w:p>
          <w:p>
            <w:pPr>
              <w:spacing w:line="360" w:lineRule="auto"/>
              <w:rPr>
                <w:rFonts w:cs="Arial" w:asciiTheme="minorEastAsia" w:hAnsiTheme="minorEastAsia" w:eastAsiaTheme="minorEastAsia"/>
                <w:spacing w:val="-6"/>
                <w:szCs w:val="24"/>
              </w:rPr>
            </w:pPr>
          </w:p>
        </w:tc>
        <w:tc>
          <w:tcPr>
            <w:tcW w:w="10004"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公司通过管理体系方针、目标、内部审核、管理评审、不合格和纠正措施各项要求落实，确定和选择改进机会，并采取必要措施确保相关改进活动得到有效开展，以满足顾客要求和增强顾客满意。</w:t>
            </w:r>
          </w:p>
          <w:p>
            <w:pPr>
              <w:spacing w:line="360" w:lineRule="auto"/>
              <w:ind w:firstLine="420" w:firstLineChars="200"/>
              <w:rPr>
                <w:rFonts w:hint="eastAsia" w:asciiTheme="minorEastAsia" w:hAnsiTheme="minorEastAsia" w:eastAsiaTheme="minorEastAsia"/>
                <w:szCs w:val="21"/>
              </w:rPr>
            </w:pPr>
            <w:r>
              <w:rPr>
                <w:rFonts w:hint="eastAsia" w:cs="宋体" w:asciiTheme="minorEastAsia" w:hAnsiTheme="minorEastAsia" w:eastAsiaTheme="minorEastAsia"/>
                <w:szCs w:val="21"/>
              </w:rPr>
              <w:t>包括改进产品和服务，纠正、预防或减少不利影响，改进体系绩效和有效性。</w:t>
            </w:r>
          </w:p>
        </w:tc>
        <w:tc>
          <w:tcPr>
            <w:tcW w:w="1585" w:type="dxa"/>
            <w:vAlign w:val="center"/>
          </w:tcPr>
          <w:p>
            <w:pPr>
              <w:jc w:val="cente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spacing w:line="360" w:lineRule="auto"/>
              <w:rPr>
                <w:rFonts w:hint="eastAsia" w:ascii="宋体" w:hAnsi="宋体" w:cs="Arial"/>
                <w:spacing w:val="-6"/>
                <w:szCs w:val="21"/>
              </w:rPr>
            </w:pPr>
            <w:r>
              <w:rPr>
                <w:rFonts w:hint="eastAsia" w:cs="宋体" w:asciiTheme="minorEastAsia" w:hAnsiTheme="minorEastAsia" w:eastAsiaTheme="minorEastAsia"/>
                <w:szCs w:val="21"/>
              </w:rPr>
              <w:t>持续改进</w:t>
            </w:r>
          </w:p>
        </w:tc>
        <w:tc>
          <w:tcPr>
            <w:tcW w:w="960" w:type="dxa"/>
            <w:vAlign w:val="top"/>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10.3</w:t>
            </w:r>
          </w:p>
          <w:p>
            <w:pPr>
              <w:spacing w:line="360" w:lineRule="auto"/>
              <w:rPr>
                <w:rFonts w:cs="Arial" w:asciiTheme="minorEastAsia" w:hAnsiTheme="minorEastAsia" w:eastAsiaTheme="minorEastAsia"/>
                <w:spacing w:val="-6"/>
                <w:szCs w:val="24"/>
              </w:rPr>
            </w:pPr>
          </w:p>
        </w:tc>
        <w:tc>
          <w:tcPr>
            <w:tcW w:w="10004" w:type="dxa"/>
            <w:vAlign w:val="center"/>
          </w:tcPr>
          <w:p>
            <w:pPr>
              <w:spacing w:line="360" w:lineRule="auto"/>
              <w:rPr>
                <w:rFonts w:hint="eastAsia" w:asciiTheme="minorEastAsia" w:hAnsiTheme="minorEastAsia" w:eastAsiaTheme="minorEastAsia"/>
                <w:szCs w:val="21"/>
              </w:rPr>
            </w:pPr>
            <w:r>
              <w:rPr>
                <w:rFonts w:hint="eastAsia" w:cs="宋体" w:asciiTheme="minorEastAsia" w:hAnsiTheme="minorEastAsia" w:eastAsiaTheme="minorEastAsia"/>
                <w:szCs w:val="21"/>
              </w:rPr>
              <w:t xml:space="preserve">  公司建立并实施《持续改进控制程序》，开展检查和考核工作、自查自纠及外部检查等形式，不断持续改进，提高顾客满意，持续改进管理体系的适宜性、充分性和有效性。</w:t>
            </w:r>
          </w:p>
        </w:tc>
        <w:tc>
          <w:tcPr>
            <w:tcW w:w="1585" w:type="dxa"/>
            <w:vAlign w:val="center"/>
          </w:tcPr>
          <w:p>
            <w:pPr>
              <w:jc w:val="cente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spacing w:line="360" w:lineRule="auto"/>
              <w:rPr>
                <w:rFonts w:hint="eastAsia" w:ascii="宋体" w:hAnsi="宋体" w:cs="Arial"/>
                <w:spacing w:val="-6"/>
                <w:szCs w:val="21"/>
              </w:rPr>
            </w:pPr>
            <w:r>
              <w:rPr>
                <w:rFonts w:hint="eastAsia" w:cs="宋体" w:asciiTheme="minorEastAsia" w:hAnsiTheme="minorEastAsia" w:eastAsiaTheme="minorEastAsia"/>
                <w:szCs w:val="21"/>
              </w:rPr>
              <w:t>资质验证</w:t>
            </w:r>
          </w:p>
        </w:tc>
        <w:tc>
          <w:tcPr>
            <w:tcW w:w="960" w:type="dxa"/>
            <w:vAlign w:val="top"/>
          </w:tcPr>
          <w:p>
            <w:pPr>
              <w:spacing w:line="360" w:lineRule="auto"/>
              <w:rPr>
                <w:rFonts w:cs="Arial" w:asciiTheme="minorEastAsia" w:hAnsiTheme="minorEastAsia" w:eastAsiaTheme="minorEastAsia"/>
                <w:spacing w:val="-6"/>
                <w:szCs w:val="24"/>
              </w:rPr>
            </w:pPr>
          </w:p>
        </w:tc>
        <w:tc>
          <w:tcPr>
            <w:tcW w:w="10004" w:type="dxa"/>
            <w:vAlign w:val="center"/>
          </w:tcPr>
          <w:p>
            <w:pPr>
              <w:spacing w:line="360" w:lineRule="auto"/>
              <w:rPr>
                <w:rFonts w:hint="eastAsia" w:asciiTheme="minorEastAsia" w:hAnsiTheme="minorEastAsia" w:eastAsiaTheme="minorEastAsia"/>
                <w:szCs w:val="21"/>
              </w:rPr>
            </w:pPr>
            <w:r>
              <w:rPr>
                <w:rFonts w:hint="eastAsia" w:cs="宋体" w:asciiTheme="minorEastAsia" w:hAnsiTheme="minorEastAsia" w:eastAsiaTheme="minorEastAsia"/>
                <w:szCs w:val="21"/>
              </w:rPr>
              <w:t>提供营业执照在有效期内，包含申请产品范围</w:t>
            </w:r>
          </w:p>
        </w:tc>
        <w:tc>
          <w:tcPr>
            <w:tcW w:w="1585" w:type="dxa"/>
            <w:vAlign w:val="center"/>
          </w:tcPr>
          <w:p>
            <w:pPr>
              <w:jc w:val="cente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spacing w:line="360" w:lineRule="auto"/>
              <w:rPr>
                <w:rFonts w:hint="eastAsia" w:ascii="宋体" w:hAnsi="宋体" w:cs="Arial"/>
                <w:spacing w:val="-6"/>
                <w:szCs w:val="21"/>
              </w:rPr>
            </w:pPr>
            <w:r>
              <w:rPr>
                <w:rFonts w:hint="eastAsia" w:cs="宋体" w:asciiTheme="minorEastAsia" w:hAnsiTheme="minorEastAsia" w:eastAsiaTheme="minorEastAsia"/>
                <w:szCs w:val="21"/>
              </w:rPr>
              <w:t>事故</w:t>
            </w:r>
          </w:p>
        </w:tc>
        <w:tc>
          <w:tcPr>
            <w:tcW w:w="960" w:type="dxa"/>
            <w:vAlign w:val="top"/>
          </w:tcPr>
          <w:p>
            <w:pPr>
              <w:spacing w:line="360" w:lineRule="auto"/>
              <w:rPr>
                <w:rFonts w:cs="Arial" w:asciiTheme="minorEastAsia" w:hAnsiTheme="minorEastAsia" w:eastAsiaTheme="minorEastAsia"/>
                <w:spacing w:val="-6"/>
                <w:szCs w:val="24"/>
              </w:rPr>
            </w:pPr>
          </w:p>
        </w:tc>
        <w:tc>
          <w:tcPr>
            <w:tcW w:w="10004" w:type="dxa"/>
            <w:vAlign w:val="center"/>
          </w:tcPr>
          <w:p>
            <w:pPr>
              <w:spacing w:line="360" w:lineRule="auto"/>
              <w:rPr>
                <w:rFonts w:hint="eastAsia" w:asciiTheme="minorEastAsia" w:hAnsiTheme="minorEastAsia" w:eastAsiaTheme="minorEastAsia"/>
                <w:szCs w:val="21"/>
              </w:rPr>
            </w:pPr>
            <w:r>
              <w:rPr>
                <w:rFonts w:hint="eastAsia" w:cs="宋体" w:asciiTheme="minorEastAsia" w:hAnsiTheme="minorEastAsia" w:eastAsiaTheme="minorEastAsia"/>
                <w:szCs w:val="21"/>
              </w:rPr>
              <w:t>公司管理体系自运行以来，未发生质量事故</w:t>
            </w:r>
          </w:p>
        </w:tc>
        <w:tc>
          <w:tcPr>
            <w:tcW w:w="1585" w:type="dxa"/>
            <w:vAlign w:val="center"/>
          </w:tcPr>
          <w:p>
            <w:pPr>
              <w:jc w:val="cente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spacing w:line="360" w:lineRule="auto"/>
              <w:rPr>
                <w:rFonts w:hint="eastAsia" w:ascii="宋体" w:hAnsi="宋体" w:cs="Arial"/>
                <w:spacing w:val="-6"/>
                <w:szCs w:val="21"/>
              </w:rPr>
            </w:pPr>
            <w:r>
              <w:rPr>
                <w:rFonts w:hint="eastAsia" w:cs="宋体" w:asciiTheme="minorEastAsia" w:hAnsiTheme="minorEastAsia" w:eastAsiaTheme="minorEastAsia"/>
                <w:szCs w:val="21"/>
              </w:rPr>
              <w:t>顾客满意、相关方投诉处理</w:t>
            </w:r>
          </w:p>
        </w:tc>
        <w:tc>
          <w:tcPr>
            <w:tcW w:w="960" w:type="dxa"/>
            <w:vAlign w:val="top"/>
          </w:tcPr>
          <w:p>
            <w:pPr>
              <w:spacing w:line="360" w:lineRule="auto"/>
              <w:rPr>
                <w:rFonts w:cs="Arial" w:asciiTheme="minorEastAsia" w:hAnsiTheme="minorEastAsia" w:eastAsiaTheme="minorEastAsia"/>
                <w:spacing w:val="-6"/>
                <w:szCs w:val="24"/>
              </w:rPr>
            </w:pPr>
          </w:p>
        </w:tc>
        <w:tc>
          <w:tcPr>
            <w:tcW w:w="10004" w:type="dxa"/>
            <w:vAlign w:val="center"/>
          </w:tcPr>
          <w:p>
            <w:pPr>
              <w:spacing w:line="360" w:lineRule="auto"/>
              <w:rPr>
                <w:rFonts w:hint="eastAsia" w:asciiTheme="minorEastAsia" w:hAnsiTheme="minorEastAsia" w:eastAsiaTheme="minorEastAsia"/>
                <w:szCs w:val="21"/>
              </w:rPr>
            </w:pPr>
            <w:r>
              <w:rPr>
                <w:rFonts w:hint="eastAsia" w:cs="宋体" w:asciiTheme="minorEastAsia" w:hAnsiTheme="minorEastAsia" w:eastAsiaTheme="minorEastAsia"/>
                <w:szCs w:val="21"/>
              </w:rPr>
              <w:t>体系运行以来未发生顾客及相关方重大投诉情况，日常顾客反馈意见或建议已及时处理</w:t>
            </w:r>
          </w:p>
        </w:tc>
        <w:tc>
          <w:tcPr>
            <w:tcW w:w="1585" w:type="dxa"/>
            <w:vAlign w:val="center"/>
          </w:tcPr>
          <w:p>
            <w:pPr>
              <w:jc w:val="cente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spacing w:line="360" w:lineRule="auto"/>
              <w:rPr>
                <w:rFonts w:hint="eastAsia" w:ascii="宋体" w:hAnsi="宋体" w:cs="Arial"/>
                <w:spacing w:val="-6"/>
                <w:szCs w:val="21"/>
              </w:rPr>
            </w:pPr>
            <w:r>
              <w:rPr>
                <w:rFonts w:hint="eastAsia" w:cs="宋体" w:asciiTheme="minorEastAsia" w:hAnsiTheme="minorEastAsia" w:eastAsiaTheme="minorEastAsia"/>
                <w:szCs w:val="21"/>
              </w:rPr>
              <w:t>国家/地方抽查情况</w:t>
            </w:r>
          </w:p>
        </w:tc>
        <w:tc>
          <w:tcPr>
            <w:tcW w:w="960" w:type="dxa"/>
            <w:vAlign w:val="top"/>
          </w:tcPr>
          <w:p>
            <w:pPr>
              <w:spacing w:line="360" w:lineRule="auto"/>
              <w:rPr>
                <w:rFonts w:cs="Arial" w:asciiTheme="minorEastAsia" w:hAnsiTheme="minorEastAsia" w:eastAsiaTheme="minorEastAsia"/>
                <w:spacing w:val="-6"/>
                <w:szCs w:val="24"/>
              </w:rPr>
            </w:pPr>
          </w:p>
        </w:tc>
        <w:tc>
          <w:tcPr>
            <w:tcW w:w="10004" w:type="dxa"/>
            <w:vAlign w:val="center"/>
          </w:tcPr>
          <w:p>
            <w:pPr>
              <w:spacing w:line="360" w:lineRule="auto"/>
              <w:rPr>
                <w:rFonts w:hint="eastAsia" w:asciiTheme="minorEastAsia" w:hAnsiTheme="minorEastAsia" w:eastAsiaTheme="minorEastAsia"/>
                <w:szCs w:val="21"/>
              </w:rPr>
            </w:pPr>
            <w:r>
              <w:rPr>
                <w:rFonts w:hint="eastAsia" w:cs="宋体" w:asciiTheme="minorEastAsia" w:hAnsiTheme="minorEastAsia" w:eastAsiaTheme="minorEastAsia"/>
                <w:szCs w:val="21"/>
              </w:rPr>
              <w:t>上级主管部门对公司的在质量监督抽查，没有提出书面问题</w:t>
            </w:r>
          </w:p>
        </w:tc>
        <w:tc>
          <w:tcPr>
            <w:tcW w:w="1585" w:type="dxa"/>
            <w:vAlign w:val="center"/>
          </w:tcPr>
          <w:p>
            <w:pPr>
              <w:jc w:val="cente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spacing w:line="280" w:lineRule="exact"/>
              <w:rPr>
                <w:rFonts w:hint="eastAsia" w:ascii="宋体" w:hAnsi="宋体" w:cs="Arial"/>
                <w:spacing w:val="-6"/>
                <w:szCs w:val="21"/>
              </w:rPr>
            </w:pPr>
            <w:r>
              <w:rPr>
                <w:rFonts w:hint="eastAsia" w:ascii="宋体" w:hAnsi="宋体"/>
                <w:szCs w:val="21"/>
              </w:rPr>
              <w:t>标准、规范执行、</w:t>
            </w:r>
            <w:r>
              <w:rPr>
                <w:rFonts w:hint="eastAsia" w:cs="宋体" w:asciiTheme="minorEastAsia" w:hAnsiTheme="minorEastAsia" w:eastAsiaTheme="minorEastAsia"/>
                <w:szCs w:val="21"/>
              </w:rPr>
              <w:t>遵纪守法情况</w:t>
            </w:r>
          </w:p>
        </w:tc>
        <w:tc>
          <w:tcPr>
            <w:tcW w:w="960" w:type="dxa"/>
            <w:vAlign w:val="top"/>
          </w:tcPr>
          <w:p>
            <w:pPr>
              <w:spacing w:line="280" w:lineRule="exact"/>
              <w:rPr>
                <w:rFonts w:cs="Arial" w:asciiTheme="minorEastAsia" w:hAnsiTheme="minorEastAsia" w:eastAsiaTheme="minorEastAsia"/>
                <w:spacing w:val="-6"/>
                <w:szCs w:val="24"/>
              </w:rPr>
            </w:pPr>
          </w:p>
        </w:tc>
        <w:tc>
          <w:tcPr>
            <w:tcW w:w="10004" w:type="dxa"/>
            <w:vAlign w:val="center"/>
          </w:tcPr>
          <w:p>
            <w:pPr>
              <w:spacing w:line="280" w:lineRule="exact"/>
              <w:rPr>
                <w:rFonts w:hint="eastAsia" w:asciiTheme="minorEastAsia" w:hAnsiTheme="minorEastAsia" w:eastAsiaTheme="minorEastAsia"/>
                <w:szCs w:val="21"/>
              </w:rPr>
            </w:pPr>
            <w:r>
              <w:rPr>
                <w:rFonts w:hint="eastAsia" w:cs="宋体" w:asciiTheme="minorEastAsia" w:hAnsiTheme="minorEastAsia" w:eastAsiaTheme="minorEastAsia"/>
                <w:szCs w:val="21"/>
              </w:rPr>
              <w:t>体系运行以来没有发生违反相关法律法规及其他要求的情况</w:t>
            </w:r>
          </w:p>
        </w:tc>
        <w:tc>
          <w:tcPr>
            <w:tcW w:w="1585" w:type="dxa"/>
            <w:vAlign w:val="center"/>
          </w:tcPr>
          <w:p>
            <w:pPr>
              <w:jc w:val="cente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spacing w:line="280" w:lineRule="exact"/>
              <w:rPr>
                <w:rFonts w:hint="eastAsia" w:ascii="宋体" w:hAnsi="宋体" w:cs="Arial"/>
                <w:spacing w:val="-6"/>
                <w:szCs w:val="21"/>
              </w:rPr>
            </w:pPr>
            <w:r>
              <w:rPr>
                <w:rFonts w:hint="eastAsia" w:cs="Arial" w:asciiTheme="minorEastAsia" w:hAnsiTheme="minorEastAsia" w:eastAsiaTheme="minorEastAsia"/>
                <w:spacing w:val="-6"/>
                <w:szCs w:val="24"/>
              </w:rPr>
              <w:t>问题的验证</w:t>
            </w:r>
          </w:p>
        </w:tc>
        <w:tc>
          <w:tcPr>
            <w:tcW w:w="960" w:type="dxa"/>
            <w:vAlign w:val="top"/>
          </w:tcPr>
          <w:p>
            <w:pPr>
              <w:spacing w:line="280" w:lineRule="exact"/>
              <w:rPr>
                <w:rFonts w:cs="Arial" w:asciiTheme="minorEastAsia" w:hAnsiTheme="minorEastAsia" w:eastAsiaTheme="minorEastAsia"/>
                <w:spacing w:val="-6"/>
                <w:szCs w:val="24"/>
              </w:rPr>
            </w:pPr>
          </w:p>
        </w:tc>
        <w:tc>
          <w:tcPr>
            <w:tcW w:w="10004" w:type="dxa"/>
            <w:vAlign w:val="center"/>
          </w:tcPr>
          <w:p>
            <w:pPr>
              <w:spacing w:line="280" w:lineRule="exact"/>
              <w:rPr>
                <w:rFonts w:hint="eastAsia" w:asciiTheme="minorEastAsia" w:hAnsiTheme="minorEastAsia" w:eastAsiaTheme="minorEastAsia"/>
                <w:szCs w:val="21"/>
              </w:rPr>
            </w:pPr>
            <w:r>
              <w:rPr>
                <w:rFonts w:hint="eastAsia" w:cs="宋体" w:asciiTheme="minorEastAsia" w:hAnsiTheme="minorEastAsia" w:eastAsiaTheme="minorEastAsia"/>
                <w:szCs w:val="21"/>
              </w:rPr>
              <w:t>一阶提出问题已整改合格</w:t>
            </w:r>
          </w:p>
        </w:tc>
        <w:tc>
          <w:tcPr>
            <w:tcW w:w="1585" w:type="dxa"/>
            <w:vAlign w:val="center"/>
          </w:tcPr>
          <w:p>
            <w:pPr>
              <w:jc w:val="cente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spacing w:line="280" w:lineRule="exact"/>
              <w:rPr>
                <w:rFonts w:hint="eastAsia" w:ascii="宋体" w:hAnsi="宋体" w:cs="Arial"/>
                <w:spacing w:val="-6"/>
                <w:szCs w:val="21"/>
              </w:rPr>
            </w:pPr>
            <w:r>
              <w:rPr>
                <w:rFonts w:hint="eastAsia" w:cs="Arial" w:asciiTheme="minorEastAsia" w:hAnsiTheme="minorEastAsia" w:eastAsiaTheme="minorEastAsia"/>
                <w:spacing w:val="-6"/>
                <w:szCs w:val="24"/>
              </w:rPr>
              <w:t>变更</w:t>
            </w:r>
          </w:p>
        </w:tc>
        <w:tc>
          <w:tcPr>
            <w:tcW w:w="960" w:type="dxa"/>
            <w:vAlign w:val="top"/>
          </w:tcPr>
          <w:p>
            <w:pPr>
              <w:spacing w:line="280" w:lineRule="exact"/>
              <w:rPr>
                <w:rFonts w:cs="Arial" w:asciiTheme="minorEastAsia" w:hAnsiTheme="minorEastAsia" w:eastAsiaTheme="minorEastAsia"/>
                <w:spacing w:val="-6"/>
                <w:szCs w:val="24"/>
              </w:rPr>
            </w:pPr>
          </w:p>
        </w:tc>
        <w:tc>
          <w:tcPr>
            <w:tcW w:w="10004" w:type="dxa"/>
            <w:vAlign w:val="center"/>
          </w:tcPr>
          <w:p>
            <w:pPr>
              <w:spacing w:line="280" w:lineRule="exact"/>
              <w:rPr>
                <w:rFonts w:hint="eastAsia" w:asciiTheme="minorEastAsia" w:hAnsiTheme="minorEastAsia" w:eastAsiaTheme="minorEastAsia"/>
                <w:szCs w:val="21"/>
              </w:rPr>
            </w:pPr>
            <w:r>
              <w:rPr>
                <w:rFonts w:hint="eastAsia"/>
              </w:rPr>
              <w:t>体系运行以来无重大变更</w:t>
            </w:r>
          </w:p>
        </w:tc>
        <w:tc>
          <w:tcPr>
            <w:tcW w:w="1585" w:type="dxa"/>
            <w:vAlign w:val="center"/>
          </w:tcPr>
          <w:p>
            <w:pPr>
              <w:jc w:val="cente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spacing w:line="360" w:lineRule="auto"/>
              <w:rPr>
                <w:rFonts w:hint="eastAsia" w:ascii="宋体" w:hAnsi="宋体" w:cs="Arial"/>
                <w:spacing w:val="-6"/>
                <w:szCs w:val="21"/>
              </w:rPr>
            </w:pPr>
          </w:p>
        </w:tc>
        <w:tc>
          <w:tcPr>
            <w:tcW w:w="960" w:type="dxa"/>
            <w:vAlign w:val="top"/>
          </w:tcPr>
          <w:p>
            <w:pPr>
              <w:spacing w:line="360" w:lineRule="auto"/>
              <w:rPr>
                <w:rFonts w:cs="Arial" w:asciiTheme="minorEastAsia" w:hAnsiTheme="minorEastAsia" w:eastAsiaTheme="minorEastAsia"/>
                <w:spacing w:val="-6"/>
                <w:szCs w:val="24"/>
              </w:rPr>
            </w:pPr>
          </w:p>
        </w:tc>
        <w:tc>
          <w:tcPr>
            <w:tcW w:w="10004" w:type="dxa"/>
            <w:vAlign w:val="center"/>
          </w:tcPr>
          <w:p>
            <w:pPr>
              <w:spacing w:line="360" w:lineRule="auto"/>
              <w:ind w:firstLine="420" w:firstLineChars="200"/>
              <w:rPr>
                <w:rFonts w:hint="eastAsia" w:asciiTheme="minorEastAsia" w:hAnsiTheme="minorEastAsia" w:eastAsiaTheme="minorEastAsia"/>
                <w:szCs w:val="21"/>
              </w:rPr>
            </w:pPr>
          </w:p>
        </w:tc>
        <w:tc>
          <w:tcPr>
            <w:tcW w:w="1585" w:type="dxa"/>
          </w:tcPr>
          <w:p/>
        </w:tc>
      </w:tr>
    </w:tbl>
    <w:p>
      <w:r>
        <w:ptab w:relativeTo="margin" w:alignment="center" w:leader="none"/>
      </w:r>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1026" o:spt="202" type="#_x0000_t202" style="position:absolute;left:0pt;margin-left:554.75pt;margin-top:2.2pt;height:20.2pt;width:172pt;z-index:251659264;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pPr>
                  <w:rPr>
                    <w:sz w:val="18"/>
                    <w:szCs w:val="18"/>
                  </w:rPr>
                </w:pPr>
                <w:r>
                  <w:rPr>
                    <w:rFonts w:hint="eastAsia"/>
                    <w:sz w:val="18"/>
                    <w:szCs w:val="18"/>
                  </w:rPr>
                  <w:t>ISC-B-II-12(05版）</w:t>
                </w:r>
              </w:p>
              <w:p>
                <w:r>
                  <w:rPr>
                    <w:rFonts w:hint="eastAsia"/>
                    <w:sz w:val="18"/>
                    <w:szCs w:val="18"/>
                  </w:rPr>
                  <w:t>版)</w:t>
                </w:r>
              </w:p>
            </w:txbxContent>
          </v:textbox>
        </v:shape>
      </w:pict>
    </w:r>
    <w:r>
      <w:rPr>
        <w:rStyle w:val="15"/>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4938"/>
    <w:rsid w:val="00060DB5"/>
    <w:rsid w:val="00062E46"/>
    <w:rsid w:val="000A117D"/>
    <w:rsid w:val="000D444F"/>
    <w:rsid w:val="000F7E9A"/>
    <w:rsid w:val="001051B2"/>
    <w:rsid w:val="0012230C"/>
    <w:rsid w:val="001252E4"/>
    <w:rsid w:val="00140BCF"/>
    <w:rsid w:val="001A2D7F"/>
    <w:rsid w:val="001B0609"/>
    <w:rsid w:val="001B0710"/>
    <w:rsid w:val="00220BCF"/>
    <w:rsid w:val="002939AD"/>
    <w:rsid w:val="002B49AE"/>
    <w:rsid w:val="002C77F4"/>
    <w:rsid w:val="002D3EA2"/>
    <w:rsid w:val="002F2C89"/>
    <w:rsid w:val="0030393B"/>
    <w:rsid w:val="00337922"/>
    <w:rsid w:val="00340867"/>
    <w:rsid w:val="00380837"/>
    <w:rsid w:val="003841C3"/>
    <w:rsid w:val="003A198A"/>
    <w:rsid w:val="003B547B"/>
    <w:rsid w:val="003F6DD5"/>
    <w:rsid w:val="003F71F5"/>
    <w:rsid w:val="003F7394"/>
    <w:rsid w:val="00410914"/>
    <w:rsid w:val="00431CC1"/>
    <w:rsid w:val="004A1359"/>
    <w:rsid w:val="004C780B"/>
    <w:rsid w:val="00536930"/>
    <w:rsid w:val="00564E53"/>
    <w:rsid w:val="005C787A"/>
    <w:rsid w:val="005D5659"/>
    <w:rsid w:val="00600C20"/>
    <w:rsid w:val="0062745C"/>
    <w:rsid w:val="00644FE2"/>
    <w:rsid w:val="00652A39"/>
    <w:rsid w:val="0067640C"/>
    <w:rsid w:val="006E678B"/>
    <w:rsid w:val="00712C5E"/>
    <w:rsid w:val="00730DFA"/>
    <w:rsid w:val="007365FC"/>
    <w:rsid w:val="007420B9"/>
    <w:rsid w:val="007757F3"/>
    <w:rsid w:val="00794C1B"/>
    <w:rsid w:val="007A7AAA"/>
    <w:rsid w:val="007E497A"/>
    <w:rsid w:val="007E6AEB"/>
    <w:rsid w:val="008876E7"/>
    <w:rsid w:val="008973EE"/>
    <w:rsid w:val="008B167A"/>
    <w:rsid w:val="00911C8F"/>
    <w:rsid w:val="00933DDF"/>
    <w:rsid w:val="00943FEA"/>
    <w:rsid w:val="00971600"/>
    <w:rsid w:val="009830CB"/>
    <w:rsid w:val="009973B4"/>
    <w:rsid w:val="009C28C1"/>
    <w:rsid w:val="009C5817"/>
    <w:rsid w:val="009F290E"/>
    <w:rsid w:val="009F7EED"/>
    <w:rsid w:val="00A80636"/>
    <w:rsid w:val="00AA0B51"/>
    <w:rsid w:val="00AD2614"/>
    <w:rsid w:val="00AF0AAB"/>
    <w:rsid w:val="00B124D6"/>
    <w:rsid w:val="00BF597E"/>
    <w:rsid w:val="00C2337D"/>
    <w:rsid w:val="00C51A36"/>
    <w:rsid w:val="00C55228"/>
    <w:rsid w:val="00CA5FEF"/>
    <w:rsid w:val="00CA7743"/>
    <w:rsid w:val="00CB00B0"/>
    <w:rsid w:val="00CB3AF9"/>
    <w:rsid w:val="00CC1597"/>
    <w:rsid w:val="00CC3305"/>
    <w:rsid w:val="00CE315A"/>
    <w:rsid w:val="00D03BCF"/>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3749"/>
    <w:rsid w:val="01F34B2A"/>
    <w:rsid w:val="0212048F"/>
    <w:rsid w:val="0265452A"/>
    <w:rsid w:val="02A807E2"/>
    <w:rsid w:val="030B7C36"/>
    <w:rsid w:val="035F2BD3"/>
    <w:rsid w:val="03C42820"/>
    <w:rsid w:val="03FD4FF6"/>
    <w:rsid w:val="048D3FEA"/>
    <w:rsid w:val="04BB696A"/>
    <w:rsid w:val="04C90F2B"/>
    <w:rsid w:val="06654179"/>
    <w:rsid w:val="06F10483"/>
    <w:rsid w:val="077060BE"/>
    <w:rsid w:val="079A405D"/>
    <w:rsid w:val="07DF2AFF"/>
    <w:rsid w:val="07EB0834"/>
    <w:rsid w:val="080B0578"/>
    <w:rsid w:val="08980FB9"/>
    <w:rsid w:val="08A0169E"/>
    <w:rsid w:val="091B037C"/>
    <w:rsid w:val="09E977BC"/>
    <w:rsid w:val="0A1509E2"/>
    <w:rsid w:val="0A27192F"/>
    <w:rsid w:val="0A8C70F6"/>
    <w:rsid w:val="0AAE0902"/>
    <w:rsid w:val="0ADF2004"/>
    <w:rsid w:val="0AEF36DC"/>
    <w:rsid w:val="0AF04256"/>
    <w:rsid w:val="0B411E3E"/>
    <w:rsid w:val="0B652E76"/>
    <w:rsid w:val="0B7966D4"/>
    <w:rsid w:val="0B957B1A"/>
    <w:rsid w:val="0B980C6D"/>
    <w:rsid w:val="0B9A31A0"/>
    <w:rsid w:val="0BBE41E0"/>
    <w:rsid w:val="0BEB7F69"/>
    <w:rsid w:val="0C201563"/>
    <w:rsid w:val="0CDC7355"/>
    <w:rsid w:val="0D491409"/>
    <w:rsid w:val="0D497365"/>
    <w:rsid w:val="0D7D62F5"/>
    <w:rsid w:val="0DA0219A"/>
    <w:rsid w:val="0DB52164"/>
    <w:rsid w:val="0DC01CFD"/>
    <w:rsid w:val="0DE75FA2"/>
    <w:rsid w:val="0E9F071A"/>
    <w:rsid w:val="0EB068FA"/>
    <w:rsid w:val="0ECE14E4"/>
    <w:rsid w:val="0F314117"/>
    <w:rsid w:val="10085BB1"/>
    <w:rsid w:val="1017085D"/>
    <w:rsid w:val="10276BE9"/>
    <w:rsid w:val="105240D8"/>
    <w:rsid w:val="108219C2"/>
    <w:rsid w:val="10D76028"/>
    <w:rsid w:val="10DB16FB"/>
    <w:rsid w:val="1113224B"/>
    <w:rsid w:val="11712337"/>
    <w:rsid w:val="11D5395F"/>
    <w:rsid w:val="121467D1"/>
    <w:rsid w:val="1229456B"/>
    <w:rsid w:val="12330544"/>
    <w:rsid w:val="126F600C"/>
    <w:rsid w:val="128D1E4D"/>
    <w:rsid w:val="12D95375"/>
    <w:rsid w:val="132216DA"/>
    <w:rsid w:val="13D53507"/>
    <w:rsid w:val="141C3600"/>
    <w:rsid w:val="142F0875"/>
    <w:rsid w:val="14EE56DB"/>
    <w:rsid w:val="15135E98"/>
    <w:rsid w:val="16772BD8"/>
    <w:rsid w:val="16867BEB"/>
    <w:rsid w:val="16BA6C31"/>
    <w:rsid w:val="17FD3326"/>
    <w:rsid w:val="185D6041"/>
    <w:rsid w:val="18B94195"/>
    <w:rsid w:val="19272344"/>
    <w:rsid w:val="19B46AE7"/>
    <w:rsid w:val="19ED09D0"/>
    <w:rsid w:val="1A9904CA"/>
    <w:rsid w:val="1AFD5E38"/>
    <w:rsid w:val="1B2B1532"/>
    <w:rsid w:val="1B41023F"/>
    <w:rsid w:val="1BB100F1"/>
    <w:rsid w:val="1BD05128"/>
    <w:rsid w:val="1CC22FD1"/>
    <w:rsid w:val="1CE967C9"/>
    <w:rsid w:val="1D94647B"/>
    <w:rsid w:val="1E3C6945"/>
    <w:rsid w:val="1EA57087"/>
    <w:rsid w:val="1F610382"/>
    <w:rsid w:val="1FBF5445"/>
    <w:rsid w:val="1FC23CBE"/>
    <w:rsid w:val="1FF507B4"/>
    <w:rsid w:val="20DB4B26"/>
    <w:rsid w:val="211900A0"/>
    <w:rsid w:val="212C697B"/>
    <w:rsid w:val="214E7353"/>
    <w:rsid w:val="21BF0EAB"/>
    <w:rsid w:val="220E793D"/>
    <w:rsid w:val="229445FE"/>
    <w:rsid w:val="22ED0401"/>
    <w:rsid w:val="23247A1A"/>
    <w:rsid w:val="236031B8"/>
    <w:rsid w:val="238F65CE"/>
    <w:rsid w:val="23A178AF"/>
    <w:rsid w:val="23CF39AD"/>
    <w:rsid w:val="24244568"/>
    <w:rsid w:val="24ED5D39"/>
    <w:rsid w:val="256D717A"/>
    <w:rsid w:val="25DC1148"/>
    <w:rsid w:val="262171BD"/>
    <w:rsid w:val="266B0827"/>
    <w:rsid w:val="26F02A12"/>
    <w:rsid w:val="26FF3AD0"/>
    <w:rsid w:val="28F9286B"/>
    <w:rsid w:val="296F27E6"/>
    <w:rsid w:val="2A1C1758"/>
    <w:rsid w:val="2A455774"/>
    <w:rsid w:val="2A9C7564"/>
    <w:rsid w:val="2ACA6785"/>
    <w:rsid w:val="2ACE0872"/>
    <w:rsid w:val="2B004F79"/>
    <w:rsid w:val="2BD34A0D"/>
    <w:rsid w:val="2BDB689E"/>
    <w:rsid w:val="2C3C4945"/>
    <w:rsid w:val="2DC74F5E"/>
    <w:rsid w:val="2E096DBC"/>
    <w:rsid w:val="2EB86955"/>
    <w:rsid w:val="2F0A352A"/>
    <w:rsid w:val="2F543231"/>
    <w:rsid w:val="2F5A7F85"/>
    <w:rsid w:val="2F5E6CB1"/>
    <w:rsid w:val="2F8E7791"/>
    <w:rsid w:val="2FF1370F"/>
    <w:rsid w:val="30313EC8"/>
    <w:rsid w:val="30360ADA"/>
    <w:rsid w:val="305C1DB5"/>
    <w:rsid w:val="313740FB"/>
    <w:rsid w:val="31633F3B"/>
    <w:rsid w:val="31817E3D"/>
    <w:rsid w:val="31B41456"/>
    <w:rsid w:val="32505D26"/>
    <w:rsid w:val="32B242D5"/>
    <w:rsid w:val="348F71F4"/>
    <w:rsid w:val="34916F9A"/>
    <w:rsid w:val="359529B1"/>
    <w:rsid w:val="35FC3F43"/>
    <w:rsid w:val="36294D55"/>
    <w:rsid w:val="364C179A"/>
    <w:rsid w:val="3684783E"/>
    <w:rsid w:val="36A95012"/>
    <w:rsid w:val="36AE4266"/>
    <w:rsid w:val="37364BB8"/>
    <w:rsid w:val="37883A40"/>
    <w:rsid w:val="37895692"/>
    <w:rsid w:val="38441F92"/>
    <w:rsid w:val="38B95E34"/>
    <w:rsid w:val="39285AAA"/>
    <w:rsid w:val="39E353D5"/>
    <w:rsid w:val="39E6519B"/>
    <w:rsid w:val="3A7B6B87"/>
    <w:rsid w:val="3AF80729"/>
    <w:rsid w:val="3B12715F"/>
    <w:rsid w:val="3B5F4DA0"/>
    <w:rsid w:val="3BC20472"/>
    <w:rsid w:val="3BD271D9"/>
    <w:rsid w:val="3BDD69B3"/>
    <w:rsid w:val="3CF93155"/>
    <w:rsid w:val="3D5F10F9"/>
    <w:rsid w:val="3D901C4B"/>
    <w:rsid w:val="3DB9109A"/>
    <w:rsid w:val="3DD6700D"/>
    <w:rsid w:val="3E927D55"/>
    <w:rsid w:val="3F6159C1"/>
    <w:rsid w:val="3F67141F"/>
    <w:rsid w:val="3F941A8C"/>
    <w:rsid w:val="3FD67B85"/>
    <w:rsid w:val="405F089D"/>
    <w:rsid w:val="409A0C02"/>
    <w:rsid w:val="40CB7023"/>
    <w:rsid w:val="41606430"/>
    <w:rsid w:val="41C01680"/>
    <w:rsid w:val="42555572"/>
    <w:rsid w:val="425725E8"/>
    <w:rsid w:val="42996777"/>
    <w:rsid w:val="43CD744C"/>
    <w:rsid w:val="4478512B"/>
    <w:rsid w:val="44826404"/>
    <w:rsid w:val="452F66AF"/>
    <w:rsid w:val="455129CA"/>
    <w:rsid w:val="462C33D1"/>
    <w:rsid w:val="46667AEF"/>
    <w:rsid w:val="466D0E0E"/>
    <w:rsid w:val="4695373F"/>
    <w:rsid w:val="4697160F"/>
    <w:rsid w:val="474B206F"/>
    <w:rsid w:val="478F2E3A"/>
    <w:rsid w:val="489050D9"/>
    <w:rsid w:val="48B87816"/>
    <w:rsid w:val="49023463"/>
    <w:rsid w:val="49682BE3"/>
    <w:rsid w:val="4A0D2C5F"/>
    <w:rsid w:val="4A7F020F"/>
    <w:rsid w:val="4AA772B4"/>
    <w:rsid w:val="4BB04F45"/>
    <w:rsid w:val="4C531B79"/>
    <w:rsid w:val="4D1C333A"/>
    <w:rsid w:val="4D6F6AE3"/>
    <w:rsid w:val="4EF010EA"/>
    <w:rsid w:val="4EFC26DC"/>
    <w:rsid w:val="4F5C1F11"/>
    <w:rsid w:val="4F726449"/>
    <w:rsid w:val="5000230A"/>
    <w:rsid w:val="500055C5"/>
    <w:rsid w:val="50414F82"/>
    <w:rsid w:val="50B16817"/>
    <w:rsid w:val="5176133C"/>
    <w:rsid w:val="51D134CF"/>
    <w:rsid w:val="51DA5D40"/>
    <w:rsid w:val="523C78CD"/>
    <w:rsid w:val="52EE38A2"/>
    <w:rsid w:val="53395E55"/>
    <w:rsid w:val="53693CAB"/>
    <w:rsid w:val="549C5D38"/>
    <w:rsid w:val="54EA72BB"/>
    <w:rsid w:val="55DA0FDB"/>
    <w:rsid w:val="55F91CC3"/>
    <w:rsid w:val="56047B5D"/>
    <w:rsid w:val="561513C9"/>
    <w:rsid w:val="567C45F7"/>
    <w:rsid w:val="56E800CA"/>
    <w:rsid w:val="57627A71"/>
    <w:rsid w:val="578541BD"/>
    <w:rsid w:val="58492CD1"/>
    <w:rsid w:val="58960553"/>
    <w:rsid w:val="58C94867"/>
    <w:rsid w:val="58D02612"/>
    <w:rsid w:val="59457317"/>
    <w:rsid w:val="5A9D21AB"/>
    <w:rsid w:val="5AB613F2"/>
    <w:rsid w:val="5ABB0A1E"/>
    <w:rsid w:val="5B612207"/>
    <w:rsid w:val="5B8E7AE8"/>
    <w:rsid w:val="5C2772B0"/>
    <w:rsid w:val="5C480A26"/>
    <w:rsid w:val="5E300207"/>
    <w:rsid w:val="5E3C45AA"/>
    <w:rsid w:val="5E4C2901"/>
    <w:rsid w:val="5E5B33B2"/>
    <w:rsid w:val="5EA12B9A"/>
    <w:rsid w:val="5EEC3F13"/>
    <w:rsid w:val="5F2E0F5F"/>
    <w:rsid w:val="5F9D00F8"/>
    <w:rsid w:val="5F9D03C5"/>
    <w:rsid w:val="604F07F1"/>
    <w:rsid w:val="60654070"/>
    <w:rsid w:val="619536FC"/>
    <w:rsid w:val="61B911B5"/>
    <w:rsid w:val="62522124"/>
    <w:rsid w:val="62831B48"/>
    <w:rsid w:val="62967221"/>
    <w:rsid w:val="63231932"/>
    <w:rsid w:val="63517AAF"/>
    <w:rsid w:val="636016A8"/>
    <w:rsid w:val="646C4CC4"/>
    <w:rsid w:val="65171900"/>
    <w:rsid w:val="65183ECB"/>
    <w:rsid w:val="652956BE"/>
    <w:rsid w:val="659E04BA"/>
    <w:rsid w:val="65CA6838"/>
    <w:rsid w:val="665053DB"/>
    <w:rsid w:val="666D5023"/>
    <w:rsid w:val="6684384C"/>
    <w:rsid w:val="66DE0102"/>
    <w:rsid w:val="67152B67"/>
    <w:rsid w:val="67E5742B"/>
    <w:rsid w:val="68127C3B"/>
    <w:rsid w:val="68764576"/>
    <w:rsid w:val="68F027D6"/>
    <w:rsid w:val="690C6064"/>
    <w:rsid w:val="69A429DF"/>
    <w:rsid w:val="6A677455"/>
    <w:rsid w:val="6A6C3C8A"/>
    <w:rsid w:val="6A821F34"/>
    <w:rsid w:val="6A974851"/>
    <w:rsid w:val="6AFD0161"/>
    <w:rsid w:val="6B517308"/>
    <w:rsid w:val="6B633BBF"/>
    <w:rsid w:val="6B9003ED"/>
    <w:rsid w:val="6C2500E0"/>
    <w:rsid w:val="6C7A320C"/>
    <w:rsid w:val="6CCB6BCF"/>
    <w:rsid w:val="6D1211C3"/>
    <w:rsid w:val="6D7B6FD2"/>
    <w:rsid w:val="6D88291F"/>
    <w:rsid w:val="6D9318BE"/>
    <w:rsid w:val="6DD944A3"/>
    <w:rsid w:val="6E9C69DC"/>
    <w:rsid w:val="6FF845CA"/>
    <w:rsid w:val="70956DF5"/>
    <w:rsid w:val="70B7124E"/>
    <w:rsid w:val="71064139"/>
    <w:rsid w:val="711F0358"/>
    <w:rsid w:val="71C11E77"/>
    <w:rsid w:val="722A306A"/>
    <w:rsid w:val="726B4339"/>
    <w:rsid w:val="728C2B53"/>
    <w:rsid w:val="72F02F6F"/>
    <w:rsid w:val="731628E1"/>
    <w:rsid w:val="73280F70"/>
    <w:rsid w:val="73533FDD"/>
    <w:rsid w:val="737B42EF"/>
    <w:rsid w:val="73B81ADD"/>
    <w:rsid w:val="73CE52A3"/>
    <w:rsid w:val="741722F5"/>
    <w:rsid w:val="74926960"/>
    <w:rsid w:val="755D3881"/>
    <w:rsid w:val="75784EBD"/>
    <w:rsid w:val="75BF112D"/>
    <w:rsid w:val="75E67D08"/>
    <w:rsid w:val="75FD0B3C"/>
    <w:rsid w:val="75FF16C4"/>
    <w:rsid w:val="76316263"/>
    <w:rsid w:val="7768158A"/>
    <w:rsid w:val="77B53A15"/>
    <w:rsid w:val="77EA4D2B"/>
    <w:rsid w:val="78670EAF"/>
    <w:rsid w:val="787B2434"/>
    <w:rsid w:val="78951FD5"/>
    <w:rsid w:val="78AD45C1"/>
    <w:rsid w:val="78F637D2"/>
    <w:rsid w:val="79C23979"/>
    <w:rsid w:val="79CC073E"/>
    <w:rsid w:val="79E3571C"/>
    <w:rsid w:val="7A287B25"/>
    <w:rsid w:val="7A427913"/>
    <w:rsid w:val="7A871456"/>
    <w:rsid w:val="7AE809AE"/>
    <w:rsid w:val="7AFF30B8"/>
    <w:rsid w:val="7BB84C0C"/>
    <w:rsid w:val="7BD56903"/>
    <w:rsid w:val="7C107799"/>
    <w:rsid w:val="7C223222"/>
    <w:rsid w:val="7CE068CE"/>
    <w:rsid w:val="7D234897"/>
    <w:rsid w:val="7D886940"/>
    <w:rsid w:val="7DB6474E"/>
    <w:rsid w:val="7E2619D9"/>
    <w:rsid w:val="7E304D79"/>
    <w:rsid w:val="7E310722"/>
    <w:rsid w:val="7E6273FE"/>
    <w:rsid w:val="7E741BF9"/>
    <w:rsid w:val="7E964F86"/>
    <w:rsid w:val="7ED46764"/>
    <w:rsid w:val="7FB03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link w:val="23"/>
    <w:qFormat/>
    <w:uiPriority w:val="99"/>
    <w:rPr>
      <w:rFonts w:ascii="宋体" w:hAnsi="Courier New"/>
    </w:r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Char"/>
    <w:basedOn w:val="11"/>
    <w:link w:val="2"/>
    <w:qFormat/>
    <w:uiPriority w:val="99"/>
    <w:rPr>
      <w:rFonts w:ascii="Times New Roman" w:hAnsi="Times New Roman" w:eastAsia="宋体" w:cs="Times New Roman"/>
      <w:sz w:val="18"/>
      <w:szCs w:val="18"/>
    </w:rPr>
  </w:style>
  <w:style w:type="character" w:customStyle="1" w:styleId="13">
    <w:name w:val="页脚 Char"/>
    <w:basedOn w:val="11"/>
    <w:link w:val="8"/>
    <w:qFormat/>
    <w:uiPriority w:val="99"/>
    <w:rPr>
      <w:rFonts w:ascii="Times New Roman" w:hAnsi="Times New Roman" w:eastAsia="宋体" w:cs="Times New Roman"/>
      <w:sz w:val="18"/>
      <w:szCs w:val="18"/>
    </w:rPr>
  </w:style>
  <w:style w:type="character" w:customStyle="1" w:styleId="14">
    <w:name w:val="批注框文本 Char"/>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列出段落2"/>
    <w:basedOn w:val="1"/>
    <w:qFormat/>
    <w:uiPriority w:val="34"/>
    <w:pPr>
      <w:ind w:firstLine="420" w:firstLineChars="200"/>
    </w:pPr>
    <w:rPr>
      <w:rFonts w:ascii="Calibri" w:hAnsi="Calibri"/>
      <w:szCs w:val="22"/>
    </w:rPr>
  </w:style>
  <w:style w:type="paragraph" w:customStyle="1" w:styleId="19">
    <w:name w:val="列出段落3"/>
    <w:basedOn w:val="1"/>
    <w:qFormat/>
    <w:uiPriority w:val="34"/>
    <w:pPr>
      <w:ind w:firstLine="420" w:firstLineChars="200"/>
    </w:pPr>
    <w:rPr>
      <w:rFonts w:ascii="Calibri" w:hAnsi="Calibri"/>
      <w:szCs w:val="22"/>
    </w:rPr>
  </w:style>
  <w:style w:type="character" w:customStyle="1" w:styleId="20">
    <w:name w:val="纯文本 Char"/>
    <w:basedOn w:val="11"/>
    <w:link w:val="6"/>
    <w:qFormat/>
    <w:uiPriority w:val="99"/>
    <w:rPr>
      <w:rFonts w:ascii="宋体" w:hAnsi="Courier New"/>
      <w:kern w:val="2"/>
      <w:sz w:val="21"/>
    </w:rPr>
  </w:style>
  <w:style w:type="paragraph" w:customStyle="1" w:styleId="21">
    <w:name w:val="表格文字"/>
    <w:basedOn w:val="1"/>
    <w:qFormat/>
    <w:uiPriority w:val="0"/>
    <w:pPr>
      <w:spacing w:before="25" w:after="25"/>
    </w:pPr>
    <w:rPr>
      <w:bCs/>
      <w:spacing w:val="10"/>
    </w:rPr>
  </w:style>
  <w:style w:type="paragraph" w:styleId="22">
    <w:name w:val="List Paragraph"/>
    <w:basedOn w:val="1"/>
    <w:qFormat/>
    <w:uiPriority w:val="99"/>
    <w:pPr>
      <w:ind w:firstLine="420" w:firstLineChars="200"/>
    </w:pPr>
  </w:style>
  <w:style w:type="character" w:customStyle="1" w:styleId="23">
    <w:name w:val="纯文本 字符"/>
    <w:link w:val="6"/>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2889</Words>
  <Characters>16473</Characters>
  <Lines>137</Lines>
  <Paragraphs>38</Paragraphs>
  <TotalTime>6</TotalTime>
  <ScaleCrop>false</ScaleCrop>
  <LinksUpToDate>false</LinksUpToDate>
  <CharactersWithSpaces>19324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2022-04-12T06:40:46Z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4A2EEC785EE84A75A86A4ECCD7F8B088</vt:lpwstr>
  </property>
</Properties>
</file>