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新明和（重庆）环保科技有限公司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新明和（重庆）环保科技有限公司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重庆市北部新区星光大道62号海王星科技大厦B区3楼4#</w:t>
            </w:r>
            <w:bookmarkEnd w:id="6"/>
          </w:p>
        </w:tc>
        <w:tc>
          <w:tcPr>
            <w:tcW w:w="1242" w:type="dxa"/>
            <w:vMerge w:val="restart"/>
            <w:vAlign w:val="center"/>
          </w:tcPr>
          <w:p>
            <w:r>
              <w:rPr>
                <w:rFonts w:hint="eastAsia"/>
              </w:rPr>
              <w:t>邮编</w:t>
            </w:r>
          </w:p>
        </w:tc>
        <w:tc>
          <w:tcPr>
            <w:tcW w:w="1771" w:type="dxa"/>
          </w:tcPr>
          <w:p>
            <w:bookmarkStart w:id="7" w:name="注册邮编"/>
            <w:r>
              <w:t>401147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生产地址：重庆市渝北区双凤桥街道空港大道1002号5幢1层及夹层/销售地址：重庆市北部新区星光大道62号海王星科技大厦B区3楼4#</w:t>
            </w:r>
            <w:bookmarkEnd w:id="8"/>
          </w:p>
        </w:tc>
        <w:tc>
          <w:tcPr>
            <w:tcW w:w="1242" w:type="dxa"/>
            <w:vMerge w:val="continue"/>
            <w:vAlign w:val="center"/>
          </w:tcPr>
          <w:p/>
        </w:tc>
        <w:tc>
          <w:tcPr>
            <w:tcW w:w="1771" w:type="dxa"/>
          </w:tcPr>
          <w:p>
            <w:bookmarkStart w:id="9" w:name="办公邮编"/>
            <w:r>
              <w:t>401147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李雪</w:t>
            </w:r>
            <w:bookmarkEnd w:id="10"/>
          </w:p>
        </w:tc>
        <w:tc>
          <w:tcPr>
            <w:tcW w:w="1313" w:type="dxa"/>
            <w:vAlign w:val="center"/>
          </w:tcPr>
          <w:p>
            <w:r>
              <w:rPr>
                <w:rFonts w:hint="eastAsia"/>
              </w:rPr>
              <w:t>电话.</w:t>
            </w:r>
          </w:p>
        </w:tc>
        <w:tc>
          <w:tcPr>
            <w:tcW w:w="2180" w:type="dxa"/>
            <w:vAlign w:val="center"/>
          </w:tcPr>
          <w:p>
            <w:bookmarkStart w:id="11" w:name="联系人电话"/>
            <w:r>
              <w:t>13696410637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洪贤</w:t>
            </w:r>
            <w:bookmarkEnd w:id="13"/>
          </w:p>
        </w:tc>
        <w:tc>
          <w:tcPr>
            <w:tcW w:w="1313" w:type="dxa"/>
            <w:vAlign w:val="center"/>
          </w:tcPr>
          <w:p>
            <w:r>
              <w:rPr>
                <w:rFonts w:hint="eastAsia"/>
              </w:rPr>
              <w:t>管理者代表</w:t>
            </w:r>
          </w:p>
        </w:tc>
        <w:tc>
          <w:tcPr>
            <w:tcW w:w="2180" w:type="dxa"/>
          </w:tcPr>
          <w:p>
            <w:bookmarkStart w:id="14" w:name="管理者代表"/>
            <w:r>
              <w:t>黄立勤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highlight w:val="none"/>
                <w:lang w:eastAsia="zh-CN"/>
              </w:rPr>
            </w:pPr>
            <w:r>
              <w:rPr>
                <w:rFonts w:hint="eastAsia"/>
                <w:highlight w:val="none"/>
                <w:lang w:eastAsia="zh-CN"/>
              </w:rPr>
              <w:t>生产工艺流程：</w:t>
            </w:r>
            <w:r>
              <w:rPr>
                <w:rFonts w:hint="eastAsia"/>
                <w:highlight w:val="none"/>
              </w:rPr>
              <w:t>采购→检验→切割→组装→焊接→总装→检验→包装入库</w:t>
            </w:r>
            <w:r>
              <w:rPr>
                <w:rFonts w:hint="eastAsia"/>
                <w:highlight w:val="none"/>
                <w:lang w:eastAsia="zh-CN"/>
              </w:rPr>
              <w:t>。</w:t>
            </w:r>
          </w:p>
          <w:p>
            <w:pPr>
              <w:rPr>
                <w:rFonts w:hint="eastAsia" w:eastAsia="宋体"/>
                <w:highlight w:val="none"/>
                <w:lang w:eastAsia="zh-CN"/>
              </w:rPr>
            </w:pPr>
            <w:r>
              <w:rPr>
                <w:rFonts w:hint="eastAsia" w:eastAsia="宋体"/>
                <w:highlight w:val="none"/>
                <w:lang w:val="en-US" w:eastAsia="zh-CN"/>
              </w:rPr>
              <w:t>研发、</w:t>
            </w:r>
            <w:r>
              <w:rPr>
                <w:rFonts w:hint="eastAsia" w:eastAsia="宋体"/>
                <w:highlight w:val="none"/>
                <w:lang w:eastAsia="zh-CN"/>
              </w:rPr>
              <w:t>技术咨询流程：市场开发→签订合同→方案设计→咨询服务→客户确认→售后服务。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2022年02月16日 上午至2022年02月16日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重庆市渝北区双凤桥街道空港大道1002号5幢1层及夹层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环保设备及运行系统的研发、生产、技术咨询</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18.05.07;19.05.01;34.06.00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01</w:t>
            </w:r>
            <w:r>
              <w:rPr>
                <w:rFonts w:hint="eastAsia"/>
                <w:color w:val="000000"/>
                <w:szCs w:val="18"/>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新明和（重庆）环保科技有限公司</w:t>
            </w:r>
            <w:r>
              <w:rPr>
                <w:rFonts w:hint="eastAsia"/>
                <w:sz w:val="21"/>
                <w:szCs w:val="21"/>
                <w:lang w:val="en-US" w:eastAsia="zh-CN"/>
              </w:rPr>
              <w:t>/</w:t>
            </w:r>
            <w:r>
              <w:rPr>
                <w:rFonts w:asciiTheme="minorEastAsia" w:hAnsiTheme="minorEastAsia" w:eastAsiaTheme="minorEastAsia"/>
                <w:sz w:val="20"/>
              </w:rPr>
              <w:t>重庆市北部新区星光大道62号海王星科技大厦B区3楼4#</w:t>
            </w:r>
          </w:p>
        </w:tc>
        <w:tc>
          <w:tcPr>
            <w:tcW w:w="2267" w:type="dxa"/>
          </w:tcPr>
          <w:p>
            <w:pPr>
              <w:rPr>
                <w:lang w:val="de-DE" w:eastAsia="ja-JP"/>
              </w:rPr>
            </w:pPr>
            <w:r>
              <w:rPr>
                <w:rFonts w:asciiTheme="minorEastAsia" w:hAnsiTheme="minorEastAsia" w:eastAsiaTheme="minorEastAsia"/>
                <w:sz w:val="20"/>
              </w:rPr>
              <w:t>生产地址：重庆市渝北区双凤桥街道空港大道1002号5幢1层及夹层/销售地址：重庆市北部新区星光大道62号海王星科技大厦B区3楼4#</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lang w:eastAsia="ja-JP"/>
              </w:rPr>
            </w:pPr>
            <w:r>
              <w:rPr>
                <w:sz w:val="20"/>
              </w:rPr>
              <w:t>环保设备及运行系统的研发、生产、技术咨询</w:t>
            </w:r>
          </w:p>
        </w:tc>
        <w:tc>
          <w:tcPr>
            <w:tcW w:w="669" w:type="dxa"/>
            <w:vAlign w:val="center"/>
          </w:tcPr>
          <w:p>
            <w:pPr>
              <w:rPr>
                <w:lang w:eastAsia="ja-JP"/>
              </w:rPr>
            </w:pPr>
            <w:r>
              <w:rPr>
                <w:rFonts w:hint="eastAsia"/>
                <w:lang w:eastAsia="ja-JP"/>
              </w:rPr>
              <w:t>GB/T19001-2016/ISO9001:2015</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18.05.07,19.05.01,34.06.00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18.05.07,19.05.01,34.06.00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一阶段审核发现有</w:t>
            </w:r>
            <w:r>
              <w:rPr>
                <w:rFonts w:hint="eastAsia" w:ascii="Times New Roman" w:hAnsi="Times New Roman" w:eastAsia="宋体" w:cs="Times New Roman"/>
                <w:lang w:val="en-US" w:eastAsia="zh-CN"/>
              </w:rPr>
              <w:t>检测设备（游标卡尺、钢卷尺、钢直尺）和叉车未提供有效检验报告，未提到改善，已开具不符合报告。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环保设备及运行系统的研发、生产、技术咨询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exact"/>
          <w:jc w:val="center"/>
        </w:trPr>
        <w:tc>
          <w:tcPr>
            <w:tcW w:w="1842" w:type="dxa"/>
          </w:tcPr>
          <w:p>
            <w:r>
              <w:rPr>
                <w:rFonts w:hint="eastAsia"/>
              </w:rPr>
              <w:t>审核组长签字</w:t>
            </w:r>
          </w:p>
        </w:tc>
        <w:tc>
          <w:tcPr>
            <w:tcW w:w="2764" w:type="dxa"/>
            <w:tcMar>
              <w:left w:w="113" w:type="dxa"/>
            </w:tcMar>
            <w:vAlign w:val="top"/>
          </w:tcPr>
          <w:p>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412115</wp:posOffset>
                  </wp:positionH>
                  <wp:positionV relativeFrom="paragraph">
                    <wp:posOffset>93980</wp:posOffset>
                  </wp:positionV>
                  <wp:extent cx="812165" cy="396875"/>
                  <wp:effectExtent l="0" t="0" r="10795" b="1460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6"/>
                          <a:stretch>
                            <a:fillRect/>
                          </a:stretch>
                        </pic:blipFill>
                        <pic:spPr>
                          <a:xfrm>
                            <a:off x="0" y="0"/>
                            <a:ext cx="812165" cy="396875"/>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auto"/>
                <w:szCs w:val="21"/>
                <w:lang w:val="en-US" w:eastAsia="zh-CN"/>
              </w:rPr>
              <w:t>2022年2月16日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bookmarkStart w:id="34" w:name="_GoBack"/>
      <w:bookmarkEnd w:id="34"/>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ascii="Times New Roman" w:hAnsi="Times New Roman" w:cs="Times New Roman"/>
                <w:color w:val="000000"/>
                <w:szCs w:val="18"/>
                <w:lang w:eastAsia="zh-CN"/>
              </w:rPr>
              <w:t>“质量第一</w:t>
            </w:r>
            <w:r>
              <w:rPr>
                <w:rFonts w:hint="eastAsia" w:ascii="Times New Roman" w:hAnsi="Times New Roman" w:cs="Times New Roman"/>
                <w:color w:val="000000"/>
                <w:szCs w:val="18"/>
              </w:rPr>
              <w:t>、</w:t>
            </w:r>
            <w:r>
              <w:rPr>
                <w:rFonts w:hint="eastAsia" w:ascii="Times New Roman" w:hAnsi="Times New Roman" w:cs="Times New Roman"/>
                <w:color w:val="000000"/>
                <w:szCs w:val="18"/>
                <w:lang w:eastAsia="zh-CN"/>
              </w:rPr>
              <w:t>用户至上；持续改进</w:t>
            </w:r>
            <w:r>
              <w:rPr>
                <w:rFonts w:hint="eastAsia" w:ascii="Times New Roman" w:hAnsi="Times New Roman" w:cs="Times New Roman"/>
                <w:color w:val="000000"/>
                <w:szCs w:val="18"/>
              </w:rPr>
              <w:t>，</w:t>
            </w:r>
            <w:r>
              <w:rPr>
                <w:rFonts w:hint="eastAsia" w:ascii="Times New Roman" w:hAnsi="Times New Roman" w:cs="Times New Roman"/>
                <w:color w:val="000000"/>
                <w:szCs w:val="18"/>
                <w:lang w:eastAsia="zh-CN"/>
              </w:rPr>
              <w:t>服务周到”。</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制造课</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r>
                    <w:rPr>
                      <w:rFonts w:hint="eastAsia" w:ascii="Times New Roman" w:hAnsi="Times New Roman" w:eastAsia="宋体" w:cs="Times New Roman"/>
                      <w:highlight w:val="green"/>
                      <w:lang w:eastAsia="zh-CN"/>
                    </w:rPr>
                    <w:t>服务质量不良造成客户流失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营业课</w:t>
                  </w:r>
                  <w:r>
                    <w:rPr>
                      <w:rFonts w:hint="eastAsia" w:ascii="宋体" w:hAnsi="宋体" w:cs="宋体"/>
                      <w:sz w:val="21"/>
                      <w:szCs w:val="21"/>
                      <w:lang w:eastAsia="zh-CN"/>
                    </w:rPr>
                    <w:t>部</w:t>
                  </w:r>
                  <w:r>
                    <w:rPr>
                      <w:rFonts w:hint="eastAsia" w:ascii="宋体" w:hAnsi="宋体" w:cs="宋体"/>
                      <w:sz w:val="21"/>
                      <w:szCs w:val="21"/>
                    </w:rPr>
                    <w:t>和</w:t>
                  </w:r>
                  <w:r>
                    <w:rPr>
                      <w:rFonts w:hint="eastAsia" w:ascii="宋体" w:hAnsi="宋体" w:cs="宋体"/>
                      <w:sz w:val="21"/>
                      <w:szCs w:val="21"/>
                      <w:lang w:val="en-US" w:eastAsia="zh-CN"/>
                    </w:rPr>
                    <w:t>技术</w:t>
                  </w:r>
                  <w:r>
                    <w:rPr>
                      <w:rFonts w:hint="eastAsia" w:ascii="宋体" w:hAnsi="宋体" w:cs="宋体"/>
                      <w:sz w:val="21"/>
                      <w:szCs w:val="21"/>
                    </w:rPr>
                    <w:t>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lang w:eastAsia="zh-CN"/>
                    </w:rPr>
                    <w:t>人员能力不满足生产的发展</w:t>
                  </w:r>
                </w:p>
              </w:tc>
              <w:tc>
                <w:tcPr>
                  <w:tcW w:w="3965" w:type="dxa"/>
                  <w:vAlign w:val="top"/>
                </w:tcPr>
                <w:p>
                  <w:pPr>
                    <w:shd w:val="clear" w:color="auto" w:fill="C7DAF1" w:themeFill="text2" w:themeFillTint="32"/>
                  </w:pPr>
                  <w:r>
                    <w:rPr>
                      <w:rFonts w:hint="eastAsia"/>
                      <w:lang w:eastAsia="zh-CN"/>
                    </w:rPr>
                    <w:t>加大人员岗位能力培训</w:t>
                  </w:r>
                </w:p>
              </w:tc>
              <w:tc>
                <w:tcPr>
                  <w:tcW w:w="1717" w:type="dxa"/>
                  <w:vAlign w:val="top"/>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hAnsi="宋体"/>
                    </w:rPr>
                    <w:t>产品一次检验合格率≥9</w:t>
                  </w:r>
                  <w:r>
                    <w:rPr>
                      <w:rFonts w:hint="eastAsia" w:hAnsi="宋体"/>
                      <w:lang w:eastAsia="zh-CN"/>
                    </w:rPr>
                    <w:t>5</w:t>
                  </w:r>
                  <w:r>
                    <w:rPr>
                      <w:rFonts w:hint="eastAsia" w:hAnsi="宋体"/>
                    </w:rPr>
                    <w:t>%</w:t>
                  </w:r>
                </w:p>
              </w:tc>
              <w:tc>
                <w:tcPr>
                  <w:tcW w:w="3136" w:type="dxa"/>
                  <w:shd w:val="clear" w:color="auto" w:fill="auto"/>
                  <w:vAlign w:val="center"/>
                </w:tcPr>
                <w:p>
                  <w:pPr>
                    <w:shd w:val="clear" w:color="auto" w:fill="C7DAF1" w:themeFill="text2" w:themeFillTint="32"/>
                    <w:rPr>
                      <w:rFonts w:hint="eastAsia"/>
                      <w:lang w:val="en-GB"/>
                    </w:rPr>
                  </w:pPr>
                  <w:r>
                    <w:rPr>
                      <w:rFonts w:hint="eastAsia" w:ascii="宋体" w:hAnsi="宋体"/>
                      <w:szCs w:val="21"/>
                      <w:lang w:val="en-US" w:eastAsia="zh-CN"/>
                    </w:rPr>
                    <w:t>一次检验合格数/送检总数</w:t>
                  </w:r>
                  <w:r>
                    <w:rPr>
                      <w:rFonts w:hint="eastAsia" w:ascii="宋体" w:hAnsi="宋体"/>
                      <w:szCs w:val="21"/>
                      <w:lang w:val="en-GB" w:eastAsia="zh-CN"/>
                    </w:rPr>
                    <w:t>*100%</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制造课</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ascii="宋体" w:hAnsi="宋体"/>
                      <w:szCs w:val="21"/>
                      <w:highlight w:val="none"/>
                      <w:lang w:val="en-US" w:eastAsia="zh-CN"/>
                    </w:rPr>
                    <w:t>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rPr>
                    <w:t>顾客满意度</w:t>
                  </w:r>
                  <w:r>
                    <w:rPr>
                      <w:rFonts w:hint="eastAsia"/>
                      <w:lang w:eastAsia="zh-CN"/>
                    </w:rPr>
                    <w:t>90</w:t>
                  </w:r>
                  <w:r>
                    <w:rPr>
                      <w:rFonts w:hint="eastAsia"/>
                    </w:rPr>
                    <w:t>分以上</w:t>
                  </w:r>
                </w:p>
              </w:tc>
              <w:tc>
                <w:tcPr>
                  <w:tcW w:w="3136" w:type="dxa"/>
                  <w:shd w:val="clear" w:color="auto" w:fill="auto"/>
                  <w:vAlign w:val="center"/>
                </w:tcPr>
                <w:p>
                  <w:pPr>
                    <w:shd w:val="clear" w:color="auto" w:fill="C7DAF1" w:themeFill="text2" w:themeFillTint="32"/>
                    <w:rPr>
                      <w:rFonts w:hint="eastAsia"/>
                    </w:rPr>
                  </w:pPr>
                  <w:r>
                    <w:rPr>
                      <w:rFonts w:hint="eastAsia"/>
                    </w:rPr>
                    <w:t>满意得分和/总调查数</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营业课</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rPr>
                    <w:t>产品按期交</w:t>
                  </w:r>
                  <w:r>
                    <w:rPr>
                      <w:rFonts w:hint="eastAsia" w:hAnsi="宋体"/>
                    </w:rPr>
                    <w:t>付率≥98%</w:t>
                  </w:r>
                </w:p>
              </w:tc>
              <w:tc>
                <w:tcPr>
                  <w:tcW w:w="3136" w:type="dxa"/>
                  <w:shd w:val="clear" w:color="auto" w:fill="auto"/>
                  <w:vAlign w:val="center"/>
                </w:tcPr>
                <w:p>
                  <w:pPr>
                    <w:shd w:val="clear" w:color="auto" w:fill="C7DAF1" w:themeFill="text2" w:themeFillTint="32"/>
                    <w:rPr>
                      <w:rFonts w:hint="eastAsia"/>
                    </w:rPr>
                  </w:pPr>
                  <w:r>
                    <w:rPr>
                      <w:rFonts w:hint="eastAsia" w:ascii="宋体" w:hAnsi="宋体" w:cs="宋体"/>
                      <w:color w:val="000000"/>
                      <w:kern w:val="0"/>
                      <w:szCs w:val="21"/>
                    </w:rPr>
                    <w:t>按期交付数量</w:t>
                  </w:r>
                  <w:r>
                    <w:rPr>
                      <w:rFonts w:hint="eastAsia" w:ascii="宋体" w:hAnsi="宋体"/>
                      <w:szCs w:val="21"/>
                      <w:lang w:val="en-US" w:eastAsia="zh-CN"/>
                    </w:rPr>
                    <w:t>/</w:t>
                  </w:r>
                  <w:r>
                    <w:rPr>
                      <w:rFonts w:hint="eastAsia" w:ascii="宋体" w:hAnsi="宋体" w:cs="宋体"/>
                      <w:color w:val="000000"/>
                      <w:kern w:val="0"/>
                      <w:szCs w:val="21"/>
                    </w:rPr>
                    <w:t>需交付总数量</w:t>
                  </w:r>
                  <w:r>
                    <w:rPr>
                      <w:rFonts w:hint="eastAsia" w:ascii="宋体" w:hAnsi="宋体"/>
                      <w:szCs w:val="21"/>
                      <w:lang w:val="en-GB" w:eastAsia="zh-CN"/>
                    </w:rPr>
                    <w:t>*100%</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营业课</w:t>
                  </w:r>
                </w:p>
              </w:tc>
              <w:tc>
                <w:tcPr>
                  <w:tcW w:w="1774" w:type="dxa"/>
                  <w:shd w:val="clear" w:color="auto" w:fill="auto"/>
                  <w:vAlign w:val="center"/>
                </w:tcPr>
                <w:p>
                  <w:pPr>
                    <w:shd w:val="clear" w:color="auto" w:fill="C7DAF1" w:themeFill="text2" w:themeFillTint="32"/>
                    <w:rPr>
                      <w:rFonts w:hint="default"/>
                      <w:lang w:val="en-US" w:eastAsia="zh-CN"/>
                    </w:rPr>
                  </w:pPr>
                  <w:r>
                    <w:rPr>
                      <w:rFonts w:hint="eastAsia" w:ascii="宋体" w:hAnsi="宋体"/>
                      <w:szCs w:val="21"/>
                      <w:highlight w:val="none"/>
                      <w:lang w:val="en-US" w:eastAsia="zh-CN"/>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 xml:space="preserve">建筑面积 </w:t>
            </w:r>
            <w:r>
              <w:rPr>
                <w:rFonts w:hint="eastAsia"/>
                <w:lang w:val="en-US" w:eastAsia="zh-CN"/>
              </w:rPr>
              <w:t>2000</w:t>
            </w:r>
            <w:r>
              <w:rPr>
                <w:rFonts w:hint="eastAsia"/>
              </w:rPr>
              <w:t>平方米；</w:t>
            </w:r>
            <w:r>
              <w:rPr>
                <w:rFonts w:hint="eastAsia"/>
                <w:lang w:val="en-US" w:eastAsia="zh-CN"/>
              </w:rPr>
              <w:t>办公室</w:t>
            </w:r>
            <w:r>
              <w:rPr>
                <w:rFonts w:hint="eastAsia"/>
              </w:rPr>
              <w:t xml:space="preserve">  </w:t>
            </w:r>
            <w:r>
              <w:rPr>
                <w:rFonts w:hint="eastAsia"/>
                <w:lang w:val="en-US" w:eastAsia="zh-CN"/>
              </w:rPr>
              <w:t>1</w:t>
            </w:r>
            <w:r>
              <w:rPr>
                <w:rFonts w:hint="eastAsia"/>
              </w:rPr>
              <w:t xml:space="preserve">个；库房  </w:t>
            </w:r>
            <w:r>
              <w:rPr>
                <w:rFonts w:hint="eastAsia"/>
                <w:lang w:val="en-US" w:eastAsia="zh-CN"/>
              </w:rPr>
              <w:t>1</w:t>
            </w:r>
            <w:r>
              <w:rPr>
                <w:rFonts w:hint="eastAsia"/>
              </w:rPr>
              <w:t xml:space="preserve">  个；实验室   个；</w:t>
            </w:r>
          </w:p>
          <w:p>
            <w:pPr>
              <w:shd w:val="clear" w:color="auto" w:fill="C7DAF1" w:themeFill="text2" w:themeFillTint="32"/>
              <w:rPr>
                <w:rFonts w:hint="eastAsia"/>
                <w:lang w:eastAsia="zh-CN"/>
              </w:rPr>
            </w:pPr>
            <w:r>
              <w:rPr>
                <w:rFonts w:hint="eastAsia"/>
              </w:rPr>
              <w:t>主要生产设备有：</w:t>
            </w:r>
            <w:r>
              <w:rPr>
                <w:rFonts w:hint="eastAsia" w:ascii="Times New Roman" w:hAnsi="Times New Roman" w:cs="Times New Roman"/>
                <w:color w:val="000000"/>
                <w:szCs w:val="21"/>
                <w:u w:val="single"/>
              </w:rPr>
              <w:t>卷板机</w:t>
            </w:r>
            <w:r>
              <w:rPr>
                <w:rFonts w:hint="eastAsia" w:ascii="Times New Roman" w:hAnsi="Times New Roman" w:cs="Times New Roman"/>
                <w:color w:val="000000"/>
                <w:szCs w:val="21"/>
                <w:u w:val="single"/>
                <w:lang w:eastAsia="zh-CN"/>
              </w:rPr>
              <w:t>、</w:t>
            </w:r>
            <w:r>
              <w:rPr>
                <w:rFonts w:hint="eastAsia" w:ascii="Times New Roman" w:hAnsi="Times New Roman" w:cs="Times New Roman"/>
                <w:color w:val="000000"/>
                <w:szCs w:val="21"/>
                <w:u w:val="single"/>
              </w:rPr>
              <w:t>折弯机</w:t>
            </w:r>
            <w:r>
              <w:rPr>
                <w:rFonts w:hint="eastAsia" w:ascii="Times New Roman" w:hAnsi="Times New Roman" w:cs="Times New Roman"/>
                <w:color w:val="000000"/>
                <w:szCs w:val="21"/>
                <w:u w:val="single"/>
                <w:lang w:eastAsia="zh-CN"/>
              </w:rPr>
              <w:t>、</w:t>
            </w:r>
            <w:r>
              <w:rPr>
                <w:rFonts w:hint="eastAsia" w:ascii="Times New Roman" w:hAnsi="Times New Roman" w:cs="Times New Roman"/>
                <w:color w:val="000000"/>
                <w:szCs w:val="21"/>
                <w:u w:val="single"/>
              </w:rPr>
              <w:t>切割机</w:t>
            </w:r>
            <w:r>
              <w:rPr>
                <w:rFonts w:hint="eastAsia" w:ascii="Times New Roman" w:hAnsi="Times New Roman" w:cs="Times New Roman"/>
                <w:color w:val="000000"/>
                <w:szCs w:val="21"/>
                <w:u w:val="single"/>
                <w:lang w:eastAsia="zh-CN"/>
              </w:rPr>
              <w:t>、</w:t>
            </w:r>
            <w:r>
              <w:rPr>
                <w:rFonts w:hint="eastAsia" w:ascii="Times New Roman" w:hAnsi="Times New Roman" w:cs="Times New Roman"/>
                <w:color w:val="000000"/>
                <w:szCs w:val="21"/>
                <w:u w:val="single"/>
              </w:rPr>
              <w:t>剪板机</w:t>
            </w:r>
            <w:r>
              <w:rPr>
                <w:rFonts w:hint="eastAsia" w:ascii="Times New Roman" w:hAnsi="Times New Roman" w:cs="Times New Roman"/>
                <w:color w:val="000000"/>
                <w:szCs w:val="21"/>
                <w:u w:val="single"/>
                <w:lang w:eastAsia="zh-CN"/>
              </w:rPr>
              <w:t>、</w:t>
            </w:r>
            <w:r>
              <w:rPr>
                <w:rFonts w:hint="eastAsia" w:ascii="Times New Roman" w:hAnsi="Times New Roman" w:cs="Times New Roman"/>
                <w:color w:val="000000"/>
                <w:szCs w:val="21"/>
                <w:u w:val="single"/>
              </w:rPr>
              <w:t>焊机</w:t>
            </w:r>
            <w:r>
              <w:rPr>
                <w:rFonts w:hint="eastAsia" w:ascii="Times New Roman" w:hAnsi="Times New Roman" w:cs="Times New Roman"/>
                <w:color w:val="000000"/>
                <w:szCs w:val="21"/>
                <w:u w:val="single"/>
                <w:lang w:val="en-US" w:eastAsia="zh-CN"/>
              </w:rPr>
              <w:t>等</w:t>
            </w:r>
            <w:r>
              <w:rPr>
                <w:rFonts w:hint="eastAsia"/>
              </w:rPr>
              <w:t xml:space="preserve"> </w:t>
            </w:r>
            <w:r>
              <w:rPr>
                <w:rFonts w:hint="eastAsia"/>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未进行定期检验的有：</w:t>
            </w:r>
            <w:r>
              <w:rPr>
                <w:rFonts w:hint="eastAsia"/>
                <w:u w:val="single"/>
                <w:lang w:val="en-US" w:eastAsia="zh-CN"/>
              </w:rPr>
              <w:t>叉车，已开具不符合报告，需整改。</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eastAsia"/>
              </w:rPr>
            </w:pPr>
            <w:r>
              <w:rPr>
                <w:rFonts w:hint="eastAsia"/>
              </w:rPr>
              <w:t>国家强检的计量器具有：</w:t>
            </w:r>
            <w:r>
              <w:rPr>
                <w:rFonts w:hint="eastAsia"/>
                <w:sz w:val="21"/>
                <w:szCs w:val="21"/>
                <w:highlight w:val="none"/>
                <w:lang w:val="en-US" w:eastAsia="zh-CN"/>
              </w:rPr>
              <w:t>游标</w:t>
            </w:r>
            <w:r>
              <w:rPr>
                <w:rFonts w:hint="eastAsia"/>
                <w:sz w:val="21"/>
                <w:szCs w:val="21"/>
                <w:highlight w:val="none"/>
              </w:rPr>
              <w:t>卡尺、</w:t>
            </w:r>
            <w:r>
              <w:rPr>
                <w:rFonts w:hint="eastAsia"/>
                <w:sz w:val="21"/>
                <w:szCs w:val="21"/>
                <w:highlight w:val="none"/>
                <w:lang w:val="en-US" w:eastAsia="zh-CN"/>
              </w:rPr>
              <w:t>钢卷尺</w:t>
            </w:r>
            <w:r>
              <w:rPr>
                <w:rFonts w:hint="eastAsia"/>
                <w:sz w:val="21"/>
                <w:szCs w:val="21"/>
                <w:highlight w:val="none"/>
              </w:rPr>
              <w:t>、压力表</w:t>
            </w:r>
            <w:r>
              <w:rPr>
                <w:rFonts w:hint="eastAsia"/>
                <w:sz w:val="21"/>
                <w:szCs w:val="21"/>
                <w:highlight w:val="none"/>
                <w:lang w:val="en-US" w:eastAsia="zh-CN"/>
              </w:rPr>
              <w:t>、数字万用表、数字绝缘电阻表、数字钳形表。</w:t>
            </w:r>
          </w:p>
          <w:p>
            <w:pPr>
              <w:shd w:val="clear" w:color="auto" w:fill="C7DAF1" w:themeFill="text2"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lang w:eastAsia="zh-CN"/>
              </w:rPr>
              <w:t>■</w:t>
            </w:r>
            <w:r>
              <w:rPr>
                <w:rFonts w:hint="eastAsia"/>
              </w:rPr>
              <w:t>未进行定期校准/检定的有：</w:t>
            </w:r>
            <w:r>
              <w:rPr>
                <w:rFonts w:hint="eastAsia"/>
                <w:sz w:val="21"/>
                <w:szCs w:val="21"/>
                <w:highlight w:val="none"/>
                <w:u w:val="single"/>
                <w:lang w:val="en-US" w:eastAsia="zh-CN"/>
              </w:rPr>
              <w:t>游标</w:t>
            </w:r>
            <w:r>
              <w:rPr>
                <w:rFonts w:hint="eastAsia"/>
                <w:sz w:val="21"/>
                <w:szCs w:val="21"/>
                <w:highlight w:val="none"/>
                <w:u w:val="single"/>
              </w:rPr>
              <w:t>卡尺、</w:t>
            </w:r>
            <w:r>
              <w:rPr>
                <w:rFonts w:hint="eastAsia"/>
                <w:sz w:val="21"/>
                <w:szCs w:val="21"/>
                <w:highlight w:val="none"/>
                <w:u w:val="single"/>
                <w:lang w:val="en-US" w:eastAsia="zh-CN"/>
              </w:rPr>
              <w:t>钢卷尺</w:t>
            </w:r>
            <w:r>
              <w:rPr>
                <w:rFonts w:hint="eastAsia"/>
                <w:sz w:val="21"/>
                <w:szCs w:val="21"/>
                <w:highlight w:val="none"/>
                <w:u w:val="single"/>
              </w:rPr>
              <w:t>、压力表</w:t>
            </w:r>
            <w:r>
              <w:rPr>
                <w:rFonts w:hint="eastAsia"/>
                <w:sz w:val="21"/>
                <w:szCs w:val="21"/>
                <w:highlight w:val="none"/>
                <w:u w:val="single"/>
                <w:lang w:val="en-US" w:eastAsia="zh-CN"/>
              </w:rPr>
              <w:t>、数字万用表、数字绝缘电阻表、数字钳形表</w:t>
            </w:r>
            <w:r>
              <w:rPr>
                <w:rFonts w:hint="eastAsia"/>
                <w:color w:val="000000"/>
                <w:highlight w:val="none"/>
                <w:u w:val="single"/>
                <w:lang w:val="en-US" w:eastAsia="zh-CN"/>
              </w:rPr>
              <w:t>，已开具不符合报告，需整改。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highlight w:val="green"/>
              </w:rPr>
            </w:pPr>
            <w:r>
              <w:rPr>
                <w:rFonts w:hint="eastAsia" w:ascii="Times New Roman" w:hAnsi="Times New Roman" w:cs="Times New Roman"/>
              </w:rPr>
              <w:t>审核期间内设计和开发新产品/项目名称：</w:t>
            </w:r>
            <w:r>
              <w:rPr>
                <w:rFonts w:hint="eastAsia" w:ascii="Times New Roman" w:hAnsi="Times New Roman" w:cs="Times New Roman"/>
                <w:lang w:val="en-US" w:eastAsia="zh-CN"/>
              </w:rPr>
              <w:t xml:space="preserve">  </w:t>
            </w:r>
            <w:r>
              <w:rPr>
                <w:rFonts w:hint="eastAsia" w:ascii="Times New Roman" w:hAnsi="Times New Roman" w:cs="Times New Roman"/>
                <w:u w:val="single"/>
              </w:rPr>
              <w:t>武汉有机实业</w:t>
            </w:r>
            <w:r>
              <w:rPr>
                <w:rFonts w:hint="eastAsia"/>
                <w:color w:val="000000"/>
                <w:sz w:val="21"/>
                <w:szCs w:val="21"/>
                <w:u w:val="single"/>
              </w:rPr>
              <w:t>化工污水处理项目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环保设备及运行系统的研发、生产、技术咨询</w:t>
                  </w:r>
                </w:p>
              </w:tc>
              <w:tc>
                <w:tcPr>
                  <w:tcW w:w="3665" w:type="dxa"/>
                  <w:vAlign w:val="top"/>
                </w:tcPr>
                <w:p>
                  <w:pPr>
                    <w:shd w:val="clear" w:color="auto" w:fill="C7DAF1" w:themeFill="text2" w:themeFillTint="32"/>
                    <w:jc w:val="left"/>
                    <w:rPr>
                      <w:rFonts w:hint="default" w:eastAsia="宋体"/>
                      <w:lang w:val="en-US" w:eastAsia="zh-CN"/>
                    </w:rPr>
                  </w:pPr>
                  <w:r>
                    <w:rPr>
                      <w:rFonts w:hint="eastAsia"/>
                      <w:color w:val="000000"/>
                      <w:u w:val="none"/>
                      <w:lang w:val="en-US" w:eastAsia="zh-CN"/>
                    </w:rPr>
                    <w:t>研发、焊接、组装、检验过程</w:t>
                  </w:r>
                </w:p>
              </w:tc>
              <w:tc>
                <w:tcPr>
                  <w:tcW w:w="3265" w:type="dxa"/>
                  <w:vAlign w:val="top"/>
                </w:tcPr>
                <w:p>
                  <w:pPr>
                    <w:shd w:val="clear" w:color="auto" w:fill="C7DAF1" w:themeFill="text2" w:themeFillTint="32"/>
                    <w:jc w:val="left"/>
                    <w:rPr>
                      <w:rFonts w:hint="default" w:eastAsiaTheme="minorEastAsia"/>
                      <w:lang w:val="en-US" w:eastAsia="zh-CN"/>
                    </w:rPr>
                  </w:pPr>
                  <w:r>
                    <w:rPr>
                      <w:rFonts w:hint="eastAsia"/>
                      <w:color w:val="000000"/>
                      <w:u w:val="none"/>
                      <w:lang w:val="en-US" w:eastAsia="zh-CN"/>
                    </w:rPr>
                    <w:t>方案可性性、安全性、尺寸、外观质量、焊接质量等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焊接过程</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12</w:t>
            </w:r>
            <w:r>
              <w:rPr>
                <w:rFonts w:hint="eastAsia"/>
                <w:u w:val="single"/>
              </w:rPr>
              <w:t xml:space="preserve">月 </w:t>
            </w:r>
            <w:r>
              <w:rPr>
                <w:rFonts w:hint="eastAsia"/>
                <w:u w:val="single"/>
                <w:lang w:val="en-US" w:eastAsia="zh-CN"/>
              </w:rPr>
              <w:t>20日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12</w:t>
            </w:r>
            <w:r>
              <w:rPr>
                <w:rFonts w:hint="eastAsia"/>
                <w:u w:val="single"/>
              </w:rPr>
              <w:t xml:space="preserve"> 月 </w:t>
            </w:r>
            <w:r>
              <w:rPr>
                <w:rFonts w:hint="eastAsia"/>
                <w:u w:val="single"/>
                <w:lang w:val="en-US" w:eastAsia="zh-CN"/>
              </w:rPr>
              <w:t>28</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6B6D77"/>
    <w:rsid w:val="2A96026F"/>
    <w:rsid w:val="69DD3303"/>
    <w:rsid w:val="71C24934"/>
    <w:rsid w:val="78AD39C1"/>
    <w:rsid w:val="7AF9035A"/>
    <w:rsid w:val="7BFA6A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2022-03-14T01:04:44Z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