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976B21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24728"/>
            <wp:effectExtent l="0" t="0" r="0" b="0"/>
            <wp:wrapNone/>
            <wp:docPr id="1" name="图片 1" descr="E:\360安全云盘同步版\国标联合审核\202202\青岛鼎饰家具有限公司\新建文件夹 (2)\扫描全能王 2022-02-16 15.3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2\青岛鼎饰家具有限公司\新建文件夹 (2)\扫描全能王 2022-02-16 15.34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sz w:val="21"/>
                <w:szCs w:val="21"/>
              </w:rPr>
              <w:t>青岛鼎饰家具有限公司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545011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合同法，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</w:p>
          <w:p w:rsidR="0066701B" w:rsidRPr="00FC1DAA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规格尺寸检验</w:t>
            </w:r>
            <w:r>
              <w:rPr>
                <w:rFonts w:hint="eastAsia"/>
                <w:b/>
                <w:sz w:val="20"/>
              </w:rPr>
              <w:t>，无型式试验要求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976B21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4E52D179" wp14:editId="5A3AE63F">
            <wp:simplePos x="0" y="0"/>
            <wp:positionH relativeFrom="column">
              <wp:posOffset>-619760</wp:posOffset>
            </wp:positionH>
            <wp:positionV relativeFrom="paragraph">
              <wp:posOffset>-830580</wp:posOffset>
            </wp:positionV>
            <wp:extent cx="7200000" cy="9821367"/>
            <wp:effectExtent l="0" t="0" r="0" b="0"/>
            <wp:wrapNone/>
            <wp:docPr id="3" name="图片 3" descr="E:\360安全云盘同步版\国标联合审核\202202\青岛鼎饰家具有限公司\新建文件夹 (2)\扫描全能王 2022-02-16 15.3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2\青岛鼎饰家具有限公司\新建文件夹 (2)\扫描全能王 2022-02-16 15.34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2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青岛鼎饰家具有限公司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有毒、有害废弃物的排放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能源、资源的消耗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FC1DAA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976B21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6E71B181" wp14:editId="1AB390E9">
            <wp:simplePos x="0" y="0"/>
            <wp:positionH relativeFrom="column">
              <wp:posOffset>-398780</wp:posOffset>
            </wp:positionH>
            <wp:positionV relativeFrom="paragraph">
              <wp:posOffset>-640080</wp:posOffset>
            </wp:positionV>
            <wp:extent cx="7200000" cy="9624728"/>
            <wp:effectExtent l="0" t="0" r="0" b="0"/>
            <wp:wrapNone/>
            <wp:docPr id="4" name="图片 4" descr="E:\360安全云盘同步版\国标联合审核\202202\青岛鼎饰家具有限公司\新建文件夹 (2)\扫描全能王 2022-02-16 15.3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2\青岛鼎饰家具有限公司\新建文件夹 (2)\扫描全能王 2022-02-16 15.34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青岛鼎饰家具有限公司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交通事故伤害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545011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</w:p>
          <w:p w:rsidR="0066701B" w:rsidRPr="00FC1DAA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5B" w:rsidRDefault="00BA2E5B">
      <w:r>
        <w:separator/>
      </w:r>
    </w:p>
  </w:endnote>
  <w:endnote w:type="continuationSeparator" w:id="0">
    <w:p w:rsidR="00BA2E5B" w:rsidRDefault="00BA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5B" w:rsidRDefault="00BA2E5B">
      <w:r>
        <w:separator/>
      </w:r>
    </w:p>
  </w:footnote>
  <w:footnote w:type="continuationSeparator" w:id="0">
    <w:p w:rsidR="00BA2E5B" w:rsidRDefault="00BA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BA2E5B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66701B"/>
    <w:rsid w:val="0087034B"/>
    <w:rsid w:val="00976B21"/>
    <w:rsid w:val="00BA2E5B"/>
    <w:rsid w:val="00E0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2022-02-17T01:51:00Z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