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</w:p>
    <w:p>
      <w:pPr>
        <w:spacing w:line="480" w:lineRule="exact"/>
        <w:jc w:val="center"/>
        <w:rPr>
          <w:rFonts w:ascii="隶书" w:hAnsi="宋体" w:eastAsia="隶书"/>
          <w:bCs/>
          <w:color w:val="000000"/>
          <w:sz w:val="36"/>
          <w:szCs w:val="36"/>
        </w:rPr>
      </w:pPr>
      <w:r>
        <w:rPr>
          <w:rFonts w:hint="eastAsia" w:ascii="隶书" w:hAnsi="宋体" w:eastAsia="隶书"/>
          <w:bCs/>
          <w:color w:val="000000"/>
          <w:sz w:val="36"/>
          <w:szCs w:val="36"/>
        </w:rPr>
        <w:t>管理体系审核记录表</w:t>
      </w:r>
    </w:p>
    <w:tbl>
      <w:tblPr>
        <w:tblStyle w:val="10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960"/>
        <w:gridCol w:w="10004"/>
        <w:gridCol w:w="15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2160" w:type="dxa"/>
            <w:vMerge w:val="restart"/>
            <w:vAlign w:val="center"/>
          </w:tcPr>
          <w:p>
            <w:pPr>
              <w:spacing w:before="120"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过程与活动、</w:t>
            </w:r>
          </w:p>
          <w:p>
            <w:pPr>
              <w:spacing w:line="360" w:lineRule="auto"/>
              <w:jc w:val="center"/>
            </w:pPr>
            <w:r>
              <w:rPr>
                <w:rFonts w:hint="eastAsia"/>
                <w:sz w:val="24"/>
                <w:szCs w:val="24"/>
              </w:rPr>
              <w:t>抽样计划</w:t>
            </w:r>
          </w:p>
        </w:tc>
        <w:tc>
          <w:tcPr>
            <w:tcW w:w="960" w:type="dxa"/>
            <w:vMerge w:val="restart"/>
            <w:vAlign w:val="center"/>
          </w:tcPr>
          <w:p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涉及</w:t>
            </w:r>
          </w:p>
          <w:p>
            <w:pPr>
              <w:spacing w:line="360" w:lineRule="auto"/>
            </w:pPr>
            <w:r>
              <w:rPr>
                <w:rFonts w:hint="eastAsia"/>
                <w:sz w:val="24"/>
                <w:szCs w:val="24"/>
              </w:rPr>
              <w:t>条款</w:t>
            </w:r>
          </w:p>
        </w:tc>
        <w:tc>
          <w:tcPr>
            <w:tcW w:w="10004" w:type="dxa"/>
            <w:vAlign w:val="center"/>
          </w:tcPr>
          <w:p>
            <w:pPr>
              <w:spacing w:line="360" w:lineRule="auto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受审核部门：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市场部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eastAsia"/>
                <w:sz w:val="24"/>
                <w:szCs w:val="24"/>
              </w:rPr>
              <w:t>主管领导：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安华翠</w:t>
            </w:r>
            <w:r>
              <w:rPr>
                <w:rFonts w:hint="eastAsia"/>
                <w:sz w:val="24"/>
                <w:szCs w:val="24"/>
              </w:rPr>
              <w:t xml:space="preserve">  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   </w:t>
            </w:r>
            <w:r>
              <w:rPr>
                <w:rFonts w:hint="eastAsia"/>
                <w:sz w:val="24"/>
                <w:szCs w:val="24"/>
              </w:rPr>
              <w:t>陪同人员：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牟翠芬</w:t>
            </w:r>
          </w:p>
        </w:tc>
        <w:tc>
          <w:tcPr>
            <w:tcW w:w="1585" w:type="dxa"/>
            <w:vMerge w:val="restart"/>
            <w:vAlign w:val="center"/>
          </w:tcPr>
          <w:p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2160" w:type="dxa"/>
            <w:vMerge w:val="continue"/>
            <w:vAlign w:val="center"/>
          </w:tcPr>
          <w:p>
            <w:pPr>
              <w:spacing w:line="360" w:lineRule="auto"/>
            </w:pPr>
          </w:p>
        </w:tc>
        <w:tc>
          <w:tcPr>
            <w:tcW w:w="960" w:type="dxa"/>
            <w:vMerge w:val="continue"/>
            <w:vAlign w:val="center"/>
          </w:tcPr>
          <w:p>
            <w:pPr>
              <w:spacing w:line="360" w:lineRule="auto"/>
            </w:pPr>
          </w:p>
        </w:tc>
        <w:tc>
          <w:tcPr>
            <w:tcW w:w="10004" w:type="dxa"/>
            <w:vAlign w:val="center"/>
          </w:tcPr>
          <w:p>
            <w:pPr>
              <w:spacing w:before="120" w:line="360" w:lineRule="auto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审核员：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 xml:space="preserve">郭力、陈琦   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 xml:space="preserve">    </w:t>
            </w:r>
            <w:r>
              <w:rPr>
                <w:rFonts w:hint="eastAsia"/>
                <w:sz w:val="24"/>
                <w:szCs w:val="24"/>
              </w:rPr>
              <w:t>审核时间：202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25日</w:t>
            </w:r>
          </w:p>
        </w:tc>
        <w:tc>
          <w:tcPr>
            <w:tcW w:w="1585" w:type="dxa"/>
            <w:vMerge w:val="continue"/>
          </w:tcPr>
          <w:p>
            <w:pPr>
              <w:spacing w:line="360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</w:trPr>
        <w:tc>
          <w:tcPr>
            <w:tcW w:w="2160" w:type="dxa"/>
            <w:vMerge w:val="continue"/>
            <w:vAlign w:val="center"/>
          </w:tcPr>
          <w:p>
            <w:pPr>
              <w:spacing w:line="360" w:lineRule="auto"/>
            </w:pPr>
          </w:p>
        </w:tc>
        <w:tc>
          <w:tcPr>
            <w:tcW w:w="960" w:type="dxa"/>
            <w:vMerge w:val="continue"/>
            <w:vAlign w:val="center"/>
          </w:tcPr>
          <w:p>
            <w:pPr>
              <w:spacing w:line="360" w:lineRule="auto"/>
            </w:pPr>
          </w:p>
        </w:tc>
        <w:tc>
          <w:tcPr>
            <w:tcW w:w="10004" w:type="dxa"/>
            <w:vAlign w:val="center"/>
          </w:tcPr>
          <w:p>
            <w:pPr>
              <w:adjustRightInd w:val="0"/>
              <w:snapToGrid w:val="0"/>
              <w:spacing w:line="320" w:lineRule="exact"/>
              <w:ind w:right="105" w:rightChars="50"/>
              <w:textAlignment w:val="baseline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/>
                <w:sz w:val="24"/>
                <w:szCs w:val="24"/>
              </w:rPr>
              <w:t>审核条款：</w:t>
            </w:r>
            <w:r>
              <w:rPr>
                <w:rFonts w:ascii="宋体" w:hAnsi="宋体" w:cs="Arial"/>
                <w:sz w:val="21"/>
                <w:szCs w:val="21"/>
              </w:rPr>
              <w:t>QMS:5.3</w:t>
            </w:r>
            <w:r>
              <w:rPr>
                <w:rFonts w:hint="eastAsia" w:ascii="宋体" w:hAnsi="宋体" w:cs="Arial"/>
                <w:sz w:val="21"/>
                <w:szCs w:val="21"/>
              </w:rPr>
              <w:t>组织的岗位、职责和权限、</w:t>
            </w:r>
            <w:r>
              <w:rPr>
                <w:rFonts w:ascii="宋体" w:hAnsi="宋体" w:cs="Arial"/>
                <w:sz w:val="21"/>
                <w:szCs w:val="21"/>
              </w:rPr>
              <w:t>6.2</w:t>
            </w:r>
            <w:r>
              <w:rPr>
                <w:rFonts w:hint="eastAsia" w:ascii="宋体" w:hAnsi="宋体" w:cs="Arial"/>
                <w:sz w:val="21"/>
                <w:szCs w:val="21"/>
              </w:rPr>
              <w:t>质量目标</w:t>
            </w:r>
            <w:r>
              <w:rPr>
                <w:rFonts w:hint="eastAsia" w:ascii="宋体" w:hAnsi="宋体" w:cs="Arial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8</w:t>
            </w:r>
            <w:r>
              <w:rPr>
                <w:rFonts w:ascii="宋体" w:hAnsi="宋体" w:cs="Arial"/>
                <w:sz w:val="21"/>
                <w:szCs w:val="21"/>
              </w:rPr>
              <w:t>.2</w:t>
            </w:r>
            <w:r>
              <w:rPr>
                <w:rFonts w:hint="eastAsia" w:ascii="宋体" w:hAnsi="宋体" w:cs="Arial"/>
                <w:sz w:val="21"/>
                <w:szCs w:val="21"/>
              </w:rPr>
              <w:t>产品和服务的要求、</w:t>
            </w:r>
            <w:r>
              <w:rPr>
                <w:rFonts w:ascii="宋体" w:hAnsi="宋体" w:cs="Arial"/>
                <w:sz w:val="21"/>
                <w:szCs w:val="21"/>
              </w:rPr>
              <w:t>8.4</w:t>
            </w:r>
            <w:r>
              <w:rPr>
                <w:rFonts w:hint="eastAsia" w:ascii="宋体" w:hAnsi="宋体" w:cs="Arial"/>
                <w:sz w:val="21"/>
                <w:szCs w:val="21"/>
              </w:rPr>
              <w:t>外部提供过程、产品和服务的控制、</w:t>
            </w:r>
            <w:r>
              <w:rPr>
                <w:rFonts w:ascii="宋体" w:hAnsi="宋体" w:cs="Arial"/>
                <w:sz w:val="21"/>
                <w:szCs w:val="21"/>
              </w:rPr>
              <w:t>8.5.3</w:t>
            </w:r>
            <w:r>
              <w:rPr>
                <w:rFonts w:hint="eastAsia" w:ascii="宋体" w:hAnsi="宋体" w:cs="Arial"/>
                <w:sz w:val="21"/>
                <w:szCs w:val="21"/>
              </w:rPr>
              <w:t>顾客或外部供方的财产</w:t>
            </w:r>
            <w:r>
              <w:rPr>
                <w:rFonts w:hint="eastAsia" w:ascii="宋体" w:hAnsi="宋体" w:cs="Arial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8.5.5交付后的活动、</w:t>
            </w:r>
            <w:r>
              <w:rPr>
                <w:rFonts w:ascii="宋体" w:hAnsi="宋体" w:cs="Arial"/>
                <w:sz w:val="21"/>
                <w:szCs w:val="21"/>
              </w:rPr>
              <w:t>9.1.2</w:t>
            </w:r>
            <w:r>
              <w:rPr>
                <w:rFonts w:hint="eastAsia" w:ascii="宋体" w:hAnsi="宋体" w:cs="Arial"/>
                <w:sz w:val="21"/>
                <w:szCs w:val="21"/>
              </w:rPr>
              <w:t>顾客满意</w:t>
            </w:r>
          </w:p>
          <w:p>
            <w:pPr>
              <w:snapToGrid w:val="0"/>
              <w:spacing w:line="280" w:lineRule="exact"/>
              <w:jc w:val="left"/>
              <w:rPr>
                <w:sz w:val="24"/>
                <w:szCs w:val="24"/>
              </w:rPr>
            </w:pPr>
            <w:r>
              <w:rPr>
                <w:rFonts w:ascii="宋体" w:hAnsi="宋体" w:cs="Arial"/>
                <w:sz w:val="21"/>
                <w:szCs w:val="21"/>
              </w:rPr>
              <w:t>EMS: 5.3</w:t>
            </w:r>
            <w:r>
              <w:rPr>
                <w:rFonts w:hint="eastAsia" w:ascii="宋体" w:hAnsi="宋体" w:cs="Arial"/>
                <w:sz w:val="21"/>
                <w:szCs w:val="21"/>
              </w:rPr>
              <w:t>组织的岗位、职责和权限、</w:t>
            </w:r>
            <w:r>
              <w:rPr>
                <w:rFonts w:ascii="宋体" w:hAnsi="宋体" w:cs="Arial"/>
                <w:sz w:val="21"/>
                <w:szCs w:val="21"/>
              </w:rPr>
              <w:t>6.2</w:t>
            </w:r>
            <w:r>
              <w:rPr>
                <w:rFonts w:hint="eastAsia" w:ascii="宋体" w:hAnsi="宋体" w:cs="Arial"/>
                <w:sz w:val="21"/>
                <w:szCs w:val="21"/>
              </w:rPr>
              <w:t>环境与职业健康安全目标</w:t>
            </w:r>
            <w:r>
              <w:rPr>
                <w:rFonts w:hint="eastAsia" w:ascii="宋体" w:hAnsi="宋体" w:cs="Arial"/>
                <w:sz w:val="21"/>
                <w:szCs w:val="21"/>
                <w:u w:val="none"/>
              </w:rPr>
              <w:t>、</w:t>
            </w:r>
            <w:r>
              <w:rPr>
                <w:rFonts w:ascii="宋体" w:hAnsi="宋体" w:cs="Arial"/>
                <w:sz w:val="21"/>
                <w:szCs w:val="21"/>
                <w:u w:val="none"/>
              </w:rPr>
              <w:t>6.1.2</w:t>
            </w:r>
            <w:r>
              <w:rPr>
                <w:rFonts w:hint="eastAsia" w:ascii="宋体" w:hAnsi="宋体" w:cs="Arial"/>
                <w:sz w:val="21"/>
                <w:szCs w:val="21"/>
                <w:u w:val="none"/>
              </w:rPr>
              <w:t>环境因素</w:t>
            </w:r>
            <w:r>
              <w:rPr>
                <w:rFonts w:ascii="宋体" w:hAnsi="宋体" w:cs="Arial"/>
                <w:sz w:val="21"/>
                <w:szCs w:val="21"/>
                <w:u w:val="none"/>
              </w:rPr>
              <w:t>/</w:t>
            </w:r>
            <w:r>
              <w:rPr>
                <w:rFonts w:hint="eastAsia" w:ascii="宋体" w:hAnsi="宋体" w:cs="Arial"/>
                <w:sz w:val="21"/>
                <w:szCs w:val="21"/>
                <w:u w:val="none"/>
              </w:rPr>
              <w:t>危险源辨识与评价、</w:t>
            </w:r>
            <w:r>
              <w:rPr>
                <w:rFonts w:ascii="宋体" w:hAnsi="宋体" w:cs="Arial"/>
                <w:sz w:val="21"/>
                <w:szCs w:val="21"/>
                <w:u w:val="none"/>
              </w:rPr>
              <w:t>8.1</w:t>
            </w:r>
            <w:r>
              <w:rPr>
                <w:rFonts w:hint="eastAsia" w:ascii="宋体" w:hAnsi="宋体" w:cs="Arial"/>
                <w:sz w:val="21"/>
                <w:szCs w:val="21"/>
                <w:u w:val="none"/>
              </w:rPr>
              <w:t>运行策划和控制、</w:t>
            </w:r>
            <w:r>
              <w:rPr>
                <w:rFonts w:ascii="宋体" w:hAnsi="宋体" w:cs="Arial"/>
                <w:sz w:val="21"/>
                <w:szCs w:val="21"/>
              </w:rPr>
              <w:t>8.2</w:t>
            </w:r>
            <w:r>
              <w:rPr>
                <w:rFonts w:hint="eastAsia" w:ascii="宋体" w:hAnsi="宋体" w:cs="Arial"/>
                <w:sz w:val="21"/>
                <w:szCs w:val="21"/>
              </w:rPr>
              <w:t>应急准备和响应</w:t>
            </w:r>
          </w:p>
        </w:tc>
        <w:tc>
          <w:tcPr>
            <w:tcW w:w="1585" w:type="dxa"/>
            <w:vMerge w:val="continue"/>
          </w:tcPr>
          <w:p>
            <w:pPr>
              <w:spacing w:line="360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</w:tcPr>
          <w:p>
            <w:pPr>
              <w:spacing w:line="360" w:lineRule="auto"/>
            </w:pPr>
            <w:r>
              <w:rPr>
                <w:rFonts w:hint="eastAsia" w:ascii="宋体" w:hAnsi="宋体" w:cs="Arial"/>
                <w:szCs w:val="21"/>
              </w:rPr>
              <w:t>组织的岗位、职责和权限</w:t>
            </w:r>
          </w:p>
        </w:tc>
        <w:tc>
          <w:tcPr>
            <w:tcW w:w="960" w:type="dxa"/>
          </w:tcPr>
          <w:p>
            <w:pPr>
              <w:spacing w:line="360" w:lineRule="auto"/>
            </w:pPr>
            <w:r>
              <w:rPr>
                <w:rFonts w:ascii="宋体" w:hAnsi="宋体" w:cs="Arial"/>
                <w:szCs w:val="21"/>
              </w:rPr>
              <w:t>QE:5.3</w:t>
            </w:r>
            <w:r>
              <w:t xml:space="preserve"> </w:t>
            </w:r>
          </w:p>
        </w:tc>
        <w:tc>
          <w:tcPr>
            <w:tcW w:w="10004" w:type="dxa"/>
          </w:tcPr>
          <w:p>
            <w:pPr>
              <w:spacing w:line="360" w:lineRule="auto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  <w:lang w:eastAsia="zh-CN"/>
              </w:rPr>
              <w:t>市场部</w:t>
            </w:r>
            <w:r>
              <w:rPr>
                <w:rFonts w:hint="eastAsia" w:ascii="宋体" w:hAnsi="宋体" w:cs="宋体"/>
                <w:szCs w:val="21"/>
              </w:rPr>
              <w:t>按照公司领导要求，做好公司职能和岗位的具体确定，对从事</w:t>
            </w:r>
            <w:r>
              <w:rPr>
                <w:rFonts w:hint="eastAsia" w:ascii="宋体" w:hAnsi="宋体" w:cs="宋体"/>
                <w:szCs w:val="21"/>
                <w:lang w:eastAsia="zh-CN"/>
              </w:rPr>
              <w:t>出版物专项排版、制版、装订；出版物、包装装潢印刷品、其他印刷品数字印刷的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销售和采购</w:t>
            </w:r>
            <w:r>
              <w:rPr>
                <w:rFonts w:hint="eastAsia" w:ascii="宋体" w:hAnsi="宋体" w:cs="宋体"/>
                <w:szCs w:val="21"/>
              </w:rPr>
              <w:t>有关的管理、执行和验证人员规定其职责、权限及其相互关系，以实现公司管理方针和管理目标。</w:t>
            </w:r>
          </w:p>
          <w:p>
            <w:pPr>
              <w:spacing w:line="360" w:lineRule="auto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市场部</w:t>
            </w:r>
            <w:r>
              <w:rPr>
                <w:rFonts w:hint="eastAsia" w:ascii="宋体" w:hAnsi="宋体" w:cs="宋体"/>
                <w:szCs w:val="21"/>
              </w:rPr>
              <w:t>负责人：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安华翠</w:t>
            </w:r>
            <w:r>
              <w:rPr>
                <w:rFonts w:hint="eastAsia" w:ascii="宋体" w:hAnsi="宋体" w:cs="宋体"/>
                <w:szCs w:val="21"/>
              </w:rPr>
              <w:t>。在手册中确定了</w:t>
            </w:r>
            <w:r>
              <w:rPr>
                <w:rFonts w:hint="eastAsia" w:ascii="宋体" w:hAnsi="宋体" w:cs="宋体"/>
                <w:szCs w:val="21"/>
                <w:lang w:eastAsia="zh-CN"/>
              </w:rPr>
              <w:t>市场部</w:t>
            </w:r>
            <w:r>
              <w:rPr>
                <w:rFonts w:hint="eastAsia" w:ascii="宋体" w:hAnsi="宋体" w:cs="宋体"/>
                <w:szCs w:val="21"/>
              </w:rPr>
              <w:t>的职能，人员职责、权限和相互关系。</w:t>
            </w:r>
          </w:p>
          <w:p>
            <w:pPr>
              <w:spacing w:line="360" w:lineRule="auto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询问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市场部</w:t>
            </w:r>
            <w:r>
              <w:rPr>
                <w:rFonts w:hint="eastAsia" w:ascii="宋体" w:hAnsi="宋体" w:cs="宋体"/>
                <w:szCs w:val="21"/>
              </w:rPr>
              <w:t>人员，基本清楚本部门职责。</w:t>
            </w:r>
          </w:p>
          <w:p>
            <w:pPr>
              <w:spacing w:line="360" w:lineRule="auto"/>
              <w:ind w:firstLine="420"/>
              <w:rPr>
                <w:b/>
                <w:color w:val="000000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现有上述管理人员配置满足要求，配有与工作相关的电脑、打/复印机、传真机等设施。</w:t>
            </w:r>
          </w:p>
        </w:tc>
        <w:tc>
          <w:tcPr>
            <w:tcW w:w="1585" w:type="dxa"/>
          </w:tcPr>
          <w:p>
            <w:pPr>
              <w:spacing w:line="360" w:lineRule="auto"/>
            </w:pPr>
            <w:r>
              <w:rPr>
                <w:rFonts w:hint="eastAsia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</w:trPr>
        <w:tc>
          <w:tcPr>
            <w:tcW w:w="2160" w:type="dxa"/>
          </w:tcPr>
          <w:p>
            <w:pPr>
              <w:spacing w:line="360" w:lineRule="auto"/>
            </w:pPr>
            <w:r>
              <w:rPr>
                <w:rFonts w:hint="eastAsia" w:ascii="宋体" w:hAnsi="宋体" w:cs="Arial"/>
                <w:szCs w:val="21"/>
              </w:rPr>
              <w:t>质量、环境目标</w:t>
            </w:r>
          </w:p>
        </w:tc>
        <w:tc>
          <w:tcPr>
            <w:tcW w:w="960" w:type="dxa"/>
          </w:tcPr>
          <w:p>
            <w:pPr>
              <w:spacing w:line="360" w:lineRule="auto"/>
            </w:pPr>
            <w:r>
              <w:rPr>
                <w:rFonts w:ascii="宋体" w:hAnsi="宋体" w:cs="Arial"/>
                <w:szCs w:val="21"/>
              </w:rPr>
              <w:t>QE:6.2</w:t>
            </w:r>
          </w:p>
        </w:tc>
        <w:tc>
          <w:tcPr>
            <w:tcW w:w="10004" w:type="dxa"/>
          </w:tcPr>
          <w:p>
            <w:pPr>
              <w:snapToGrid w:val="0"/>
              <w:spacing w:line="360" w:lineRule="auto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涉及市场部的质量、环境和职业健康安全管理目标及完成情况：抽查</w:t>
            </w:r>
            <w:r>
              <w:rPr>
                <w:rFonts w:hint="eastAsia"/>
                <w:lang w:val="en-US" w:eastAsia="zh-CN"/>
              </w:rPr>
              <w:t>2021年12月19日目标考核情况，已经达成目标。                                                 完成情况</w:t>
            </w:r>
          </w:p>
          <w:p>
            <w:pPr>
              <w:snapToGrid w:val="0"/>
              <w:spacing w:line="360" w:lineRule="auto"/>
              <w:rPr>
                <w:rFonts w:hint="eastAsia"/>
              </w:rPr>
            </w:pPr>
            <w:r>
              <w:rPr>
                <w:rFonts w:hint="eastAsia"/>
              </w:rPr>
              <w:t>1）采购产品合格率100%；</w:t>
            </w:r>
            <w:r>
              <w:rPr>
                <w:rFonts w:hint="eastAsia"/>
                <w:lang w:val="en-US" w:eastAsia="zh-CN"/>
              </w:rPr>
              <w:t xml:space="preserve">                                      </w:t>
            </w:r>
            <w:r>
              <w:rPr>
                <w:rFonts w:hint="eastAsia"/>
              </w:rPr>
              <w:t>100，达成</w:t>
            </w:r>
          </w:p>
          <w:p>
            <w:pPr>
              <w:snapToGrid w:val="0"/>
              <w:spacing w:line="360" w:lineRule="auto"/>
              <w:rPr>
                <w:rFonts w:hint="eastAsia"/>
              </w:rPr>
            </w:pPr>
            <w:r>
              <w:rPr>
                <w:rFonts w:hint="eastAsia"/>
              </w:rPr>
              <w:t>2）顾客满意度不低于90%；</w:t>
            </w:r>
            <w:r>
              <w:rPr>
                <w:rFonts w:hint="eastAsia"/>
                <w:lang w:val="en-US" w:eastAsia="zh-CN"/>
              </w:rPr>
              <w:t xml:space="preserve">                                     </w:t>
            </w:r>
            <w:r>
              <w:rPr>
                <w:rFonts w:hint="eastAsia"/>
              </w:rPr>
              <w:t>96%，达成</w:t>
            </w:r>
          </w:p>
          <w:p>
            <w:pPr>
              <w:snapToGrid w:val="0"/>
              <w:spacing w:line="360" w:lineRule="auto"/>
              <w:rPr>
                <w:rFonts w:hint="eastAsia"/>
              </w:rPr>
            </w:pPr>
            <w:r>
              <w:rPr>
                <w:rFonts w:hint="eastAsia"/>
              </w:rPr>
              <w:t>3）顾客投诉及时处理率100%；</w:t>
            </w:r>
            <w:r>
              <w:rPr>
                <w:rFonts w:hint="eastAsia"/>
                <w:lang w:val="en-US" w:eastAsia="zh-CN"/>
              </w:rPr>
              <w:t xml:space="preserve">                                  </w:t>
            </w:r>
            <w:r>
              <w:rPr>
                <w:rFonts w:hint="eastAsia"/>
              </w:rPr>
              <w:t>100%，达成</w:t>
            </w:r>
          </w:p>
          <w:p>
            <w:pPr>
              <w:snapToGrid w:val="0"/>
              <w:spacing w:line="360" w:lineRule="auto"/>
              <w:rPr>
                <w:rFonts w:hint="eastAsia"/>
              </w:rPr>
            </w:pPr>
            <w:r>
              <w:rPr>
                <w:rFonts w:hint="eastAsia"/>
              </w:rPr>
              <w:t>4）避免危险有害废弃物违规排放，按规定对其分类处理率100%；</w:t>
            </w:r>
            <w:r>
              <w:rPr>
                <w:rFonts w:hint="eastAsia"/>
                <w:lang w:val="en-US" w:eastAsia="zh-CN"/>
              </w:rPr>
              <w:t xml:space="preserve">     </w:t>
            </w:r>
            <w:r>
              <w:rPr>
                <w:rFonts w:hint="eastAsia"/>
              </w:rPr>
              <w:t>100%，达成</w:t>
            </w:r>
          </w:p>
          <w:p>
            <w:pPr>
              <w:snapToGrid w:val="0"/>
              <w:spacing w:line="360" w:lineRule="auto"/>
              <w:rPr>
                <w:rFonts w:hint="eastAsia"/>
              </w:rPr>
            </w:pPr>
            <w:r>
              <w:rPr>
                <w:rFonts w:hint="eastAsia"/>
              </w:rPr>
              <w:t>5）确保相关方在环保及职业健康安全方面零投诉；</w:t>
            </w:r>
            <w:r>
              <w:rPr>
                <w:rFonts w:hint="eastAsia"/>
                <w:lang w:val="en-US" w:eastAsia="zh-CN"/>
              </w:rPr>
              <w:t xml:space="preserve">                  </w:t>
            </w:r>
            <w:r>
              <w:rPr>
                <w:rFonts w:hint="eastAsia"/>
              </w:rPr>
              <w:t>零投诉，达成</w:t>
            </w:r>
          </w:p>
          <w:p>
            <w:pPr>
              <w:snapToGrid w:val="0"/>
              <w:spacing w:line="36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6）年度火灾和重大安全事故（死亡、重伤）发生率为零；</w:t>
            </w:r>
            <w:r>
              <w:rPr>
                <w:rFonts w:hint="eastAsia"/>
                <w:lang w:val="en-US" w:eastAsia="zh-CN"/>
              </w:rPr>
              <w:t xml:space="preserve">           </w:t>
            </w:r>
            <w:r>
              <w:rPr>
                <w:rFonts w:hint="eastAsia"/>
              </w:rPr>
              <w:t>安全事故零，达成</w:t>
            </w:r>
          </w:p>
          <w:p>
            <w:pPr>
              <w:pStyle w:val="2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考核</w:t>
            </w: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  <w:t>人：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牟翠蓉</w:t>
            </w: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  <w:t xml:space="preserve">     审核：</w:t>
            </w:r>
            <w:r>
              <w:rPr>
                <w:rFonts w:hint="eastAsia" w:ascii="宋体" w:hAnsi="宋体" w:cs="Times New Roman"/>
                <w:sz w:val="21"/>
                <w:szCs w:val="21"/>
                <w:lang w:val="en-US" w:eastAsia="zh-CN"/>
              </w:rPr>
              <w:t>安华翠</w:t>
            </w: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  <w:t xml:space="preserve">      日期：2021年12月19日</w:t>
            </w:r>
          </w:p>
        </w:tc>
        <w:tc>
          <w:tcPr>
            <w:tcW w:w="1585" w:type="dxa"/>
          </w:tcPr>
          <w:p>
            <w:pPr>
              <w:spacing w:line="360" w:lineRule="auto"/>
            </w:pPr>
            <w:r>
              <w:rPr>
                <w:rFonts w:hint="eastAsia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2160" w:type="dxa"/>
            <w:vAlign w:val="top"/>
          </w:tcPr>
          <w:p>
            <w:pPr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  <w:t>环境因素识别，及控制措施</w:t>
            </w:r>
          </w:p>
        </w:tc>
        <w:tc>
          <w:tcPr>
            <w:tcW w:w="960" w:type="dxa"/>
            <w:vAlign w:val="top"/>
          </w:tcPr>
          <w:p>
            <w:pPr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  <w:t>E:6.1.2</w:t>
            </w:r>
          </w:p>
        </w:tc>
        <w:tc>
          <w:tcPr>
            <w:tcW w:w="10004" w:type="dxa"/>
            <w:vAlign w:val="top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  <w:t>编制《环境因素的识别与评价控制程序》、《危险源辨别和风险评价控制程序》等程序，按照相关程序执行。</w:t>
            </w:r>
          </w:p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  <w:t>提供《环境因素识别及评价表》识别了</w:t>
            </w:r>
            <w:r>
              <w:rPr>
                <w:rFonts w:hint="eastAsia" w:ascii="宋体" w:hAnsi="宋体" w:cs="Times New Roman" w:eastAsiaTheme="minorEastAsia"/>
                <w:szCs w:val="21"/>
                <w:lang w:eastAsia="zh-CN"/>
              </w:rPr>
              <w:t>出版物专项排版、制版、装订；出版物、包装装潢印刷品、其他印刷品数字印刷的</w:t>
            </w:r>
            <w:r>
              <w:rPr>
                <w:rFonts w:hint="eastAsia" w:ascii="宋体" w:hAnsi="宋体" w:cs="Times New Roman" w:eastAsiaTheme="minorEastAsia"/>
                <w:szCs w:val="21"/>
                <w:lang w:val="en-US" w:eastAsia="zh-CN"/>
              </w:rPr>
              <w:t>销售、采购等</w:t>
            </w:r>
            <w:r>
              <w:rPr>
                <w:rFonts w:hint="eastAsia" w:ascii="宋体" w:hAnsi="宋体" w:cs="Times New Roman"/>
                <w:szCs w:val="21"/>
              </w:rPr>
              <w:t>过程</w:t>
            </w:r>
            <w:r>
              <w:rPr>
                <w:rFonts w:hint="eastAsia" w:ascii="宋体" w:hAnsi="宋体" w:cs="Times New Roman"/>
                <w:szCs w:val="21"/>
                <w:lang w:val="en-US" w:eastAsia="zh-CN"/>
              </w:rPr>
              <w:t>等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  <w:t>环境因素包括：</w:t>
            </w:r>
          </w:p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水的消耗、电的消耗、办公用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品的消耗、汽车尾气的排放、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生活垃圾的排放、纸箱、包装物的废弃物等；</w:t>
            </w:r>
          </w:p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提供《重要环境因素清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单》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项，包括</w:t>
            </w:r>
            <w:r>
              <w:rPr>
                <w:rFonts w:hint="eastAsia"/>
                <w:lang w:eastAsia="zh-CN"/>
              </w:rPr>
              <w:t>固体废弃物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（材料包装物废弃、办公垃圾等）、</w:t>
            </w:r>
            <w:r>
              <w:rPr>
                <w:rFonts w:hint="eastAsia"/>
                <w:szCs w:val="22"/>
                <w:lang w:val="en-US" w:eastAsia="zh-CN"/>
              </w:rPr>
              <w:t>潜在火灾和爆炸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（</w:t>
            </w:r>
            <w:r>
              <w:rPr>
                <w:rFonts w:hint="eastAsia" w:ascii="宋体" w:hAnsi="宋体"/>
                <w:szCs w:val="21"/>
              </w:rPr>
              <w:t>办公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过程潜在火灾的发生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）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  <w:t>。</w:t>
            </w:r>
          </w:p>
          <w:p>
            <w:pPr>
              <w:pStyle w:val="2"/>
              <w:spacing w:line="360" w:lineRule="auto"/>
              <w:rPr>
                <w:rFonts w:hint="eastAsia" w:asciiTheme="minorEastAsia" w:hAnsiTheme="minorEastAsia" w:eastAsiaTheme="minorEastAsia" w:cstheme="minorEastAsia"/>
                <w:bCs/>
                <w:spacing w:val="1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 w:val="0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  <w:t>以上重要环境因素清单、不可接受风险清单中制定了针对性控制措施，措施基本有效。</w:t>
            </w:r>
          </w:p>
        </w:tc>
        <w:tc>
          <w:tcPr>
            <w:tcW w:w="1585" w:type="dxa"/>
          </w:tcPr>
          <w:p>
            <w:pPr>
              <w:spacing w:line="360" w:lineRule="auto"/>
            </w:pPr>
            <w: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2160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运行策划和控制、</w:t>
            </w:r>
          </w:p>
        </w:tc>
        <w:tc>
          <w:tcPr>
            <w:tcW w:w="960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E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8.1  </w:t>
            </w:r>
          </w:p>
        </w:tc>
        <w:tc>
          <w:tcPr>
            <w:tcW w:w="10004" w:type="dxa"/>
            <w:vAlign w:val="center"/>
          </w:tcPr>
          <w:p>
            <w:pPr>
              <w:spacing w:line="360" w:lineRule="auto"/>
              <w:ind w:firstLine="420" w:firstLineChars="20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公司制</w:t>
            </w:r>
            <w:r>
              <w:rPr>
                <w:rFonts w:hint="eastAsia" w:ascii="宋体" w:hAnsi="宋体" w:eastAsia="宋体" w:cs="Times New Roman"/>
                <w:szCs w:val="21"/>
              </w:rPr>
              <w:t>定并实施了《废弃物管理控制程序》、《事件调查处理控制程序》、《交通安全控制程序》、《应急准备与响应控制程序》、《安全消防制度》、《废弃物管理办法》、《节能降耗管理办法》等环境</w:t>
            </w:r>
            <w:r>
              <w:rPr>
                <w:rFonts w:hint="eastAsia" w:ascii="宋体" w:hAnsi="宋体" w:eastAsia="宋体" w:cs="Times New Roman"/>
                <w:szCs w:val="21"/>
                <w:lang w:val="en-US" w:eastAsia="zh-CN"/>
              </w:rPr>
              <w:t>职业健康安全</w:t>
            </w:r>
            <w:r>
              <w:rPr>
                <w:rFonts w:hint="eastAsia" w:ascii="宋体" w:hAnsi="宋体"/>
                <w:szCs w:val="21"/>
              </w:rPr>
              <w:t>管理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文件</w:t>
            </w:r>
            <w:r>
              <w:rPr>
                <w:rFonts w:hint="eastAsia" w:ascii="宋体" w:hAnsi="宋体"/>
                <w:szCs w:val="21"/>
              </w:rPr>
              <w:t>。</w:t>
            </w:r>
          </w:p>
          <w:p>
            <w:pPr>
              <w:spacing w:line="360" w:lineRule="auto"/>
              <w:ind w:firstLine="420" w:firstLineChars="20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按公司要求人走关灯，办公室内电脑要求人走后电源切断。办公室内垃圾主要包含可回收垃圾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Cs w:val="21"/>
              </w:rPr>
              <w:t>、硒鼓、废纸。公司配置了垃圾箱，</w:t>
            </w:r>
            <w:r>
              <w:rPr>
                <w:rFonts w:hint="eastAsia" w:ascii="宋体" w:hAnsi="宋体"/>
                <w:szCs w:val="21"/>
                <w:lang w:eastAsia="zh-CN"/>
              </w:rPr>
              <w:t>办公室</w:t>
            </w:r>
            <w:r>
              <w:rPr>
                <w:rFonts w:hint="eastAsia" w:ascii="宋体" w:hAnsi="宋体"/>
                <w:szCs w:val="21"/>
              </w:rPr>
              <w:t>统一处理。</w:t>
            </w:r>
          </w:p>
          <w:p>
            <w:pPr>
              <w:spacing w:line="360" w:lineRule="auto"/>
              <w:ind w:firstLine="420" w:firstLineChars="20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生活污水排入市政污水管网。</w:t>
            </w:r>
          </w:p>
          <w:p>
            <w:pPr>
              <w:spacing w:line="360" w:lineRule="auto"/>
              <w:ind w:firstLine="420" w:firstLineChars="20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办公区</w:t>
            </w:r>
            <w:r>
              <w:rPr>
                <w:rFonts w:hint="eastAsia" w:ascii="宋体" w:hAnsi="宋体"/>
                <w:szCs w:val="21"/>
              </w:rPr>
              <w:t>内主要是电的使用，电器有漏电保护器，经常对电路、电源进行检查，没有露电现象发生。现场巡视办公区域消防栓、灭火器正常，电线、电气插座完整，未见破损。</w:t>
            </w:r>
          </w:p>
          <w:p>
            <w:pPr>
              <w:spacing w:line="360" w:lineRule="auto"/>
              <w:ind w:firstLine="420" w:firstLineChars="200"/>
              <w:rPr>
                <w:rFonts w:hint="eastAsia" w:asciiTheme="minorEastAsia" w:hAnsiTheme="minorEastAsia" w:eastAsiaTheme="minorEastAsia" w:cstheme="minorEastAsia"/>
                <w:bCs w:val="0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部门运行控制能结合产品生命周期方法，基本符合规定要求。</w:t>
            </w:r>
          </w:p>
        </w:tc>
        <w:tc>
          <w:tcPr>
            <w:tcW w:w="1585" w:type="dxa"/>
          </w:tcPr>
          <w:p>
            <w:pPr>
              <w:spacing w:line="360" w:lineRule="auto"/>
            </w:pPr>
            <w: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2160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应急准备和响应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960" w:type="dxa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E：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8.2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10004" w:type="dxa"/>
            <w:vAlign w:val="top"/>
          </w:tcPr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提</w:t>
            </w:r>
            <w:r>
              <w:rPr>
                <w:rFonts w:hint="eastAsia" w:ascii="宋体" w:hAnsi="宋体" w:eastAsia="宋体" w:cs="Times New Roman"/>
                <w:szCs w:val="21"/>
              </w:rPr>
              <w:t>供了《</w:t>
            </w:r>
            <w:r>
              <w:rPr>
                <w:rFonts w:hint="eastAsia" w:ascii="宋体" w:hAnsi="宋体"/>
                <w:strike w:val="0"/>
                <w:dstrike w:val="0"/>
                <w:color w:val="auto"/>
                <w:szCs w:val="21"/>
                <w:highlight w:val="none"/>
              </w:rPr>
              <w:t>应急准备与响应控制程序</w:t>
            </w:r>
            <w:r>
              <w:rPr>
                <w:rFonts w:hint="eastAsia" w:ascii="宋体" w:hAnsi="宋体" w:eastAsia="宋体" w:cs="Times New Roman"/>
                <w:szCs w:val="21"/>
              </w:rPr>
              <w:t>》、《应急预案》，其中包括目的、适用范围、职责、应急领导小组成员职责、程序、现场应急措施等，相关内容基本充分。</w:t>
            </w:r>
          </w:p>
          <w:p>
            <w:pPr>
              <w:spacing w:line="360" w:lineRule="auto"/>
              <w:ind w:firstLine="420" w:firstLineChars="200"/>
              <w:rPr>
                <w:rFonts w:hint="default" w:ascii="宋体" w:hAnsi="宋体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2"/>
              </w:rPr>
              <w:t>查消防灭火演练，演练时间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2021.11.09</w:t>
            </w:r>
            <w:r>
              <w:rPr>
                <w:rFonts w:hint="eastAsia" w:ascii="Times New Roman" w:hAnsi="Times New Roman" w:eastAsia="宋体" w:cs="Times New Roman"/>
                <w:szCs w:val="22"/>
              </w:rPr>
              <w:t>，对演练过程进行了描述，并对预案的有效性进</w:t>
            </w:r>
            <w:r>
              <w:rPr>
                <w:rFonts w:hint="eastAsia"/>
              </w:rPr>
              <w:t>行了评价。目前未发生火灾、人身伤害等事故。</w:t>
            </w:r>
            <w:r>
              <w:rPr>
                <w:rFonts w:hint="eastAsia" w:ascii="宋体" w:hAnsi="宋体" w:eastAsia="宋体" w:cs="Times New Roman"/>
                <w:szCs w:val="21"/>
              </w:rPr>
              <w:t>现场查看</w:t>
            </w:r>
            <w:r>
              <w:rPr>
                <w:rFonts w:hint="eastAsia" w:ascii="宋体" w:hAnsi="宋体" w:eastAsia="宋体" w:cs="Times New Roman"/>
                <w:szCs w:val="21"/>
                <w:lang w:val="en-US" w:eastAsia="zh-CN"/>
              </w:rPr>
              <w:t>办公区</w:t>
            </w:r>
            <w:r>
              <w:rPr>
                <w:rFonts w:hint="eastAsia" w:ascii="宋体" w:hAnsi="宋体" w:eastAsia="宋体" w:cs="Times New Roman"/>
                <w:szCs w:val="21"/>
              </w:rPr>
              <w:t>有消防栓和灭火器若干个，状态良好。</w:t>
            </w:r>
            <w:r>
              <w:rPr>
                <w:rFonts w:hint="eastAsia" w:ascii="宋体" w:hAnsi="宋体" w:cs="Times New Roman"/>
                <w:szCs w:val="21"/>
                <w:lang w:val="en-US" w:eastAsia="zh-CN"/>
              </w:rPr>
              <w:t>详细演练记录见办公室8.2条款。</w:t>
            </w:r>
          </w:p>
          <w:p>
            <w:pPr>
              <w:spacing w:line="360" w:lineRule="auto"/>
              <w:ind w:firstLine="420" w:firstLineChars="200"/>
              <w:rPr>
                <w:rFonts w:hint="eastAsia" w:asciiTheme="minorEastAsia" w:hAnsiTheme="minorEastAsia" w:eastAsiaTheme="minorEastAsia" w:cstheme="minorEastAsia"/>
                <w:bCs w:val="0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自体系运行以来未发生应急情况。</w:t>
            </w:r>
          </w:p>
        </w:tc>
        <w:tc>
          <w:tcPr>
            <w:tcW w:w="1585" w:type="dxa"/>
          </w:tcPr>
          <w:p>
            <w:pPr>
              <w:spacing w:line="360" w:lineRule="auto"/>
            </w:pPr>
            <w: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</w:trPr>
        <w:tc>
          <w:tcPr>
            <w:tcW w:w="2160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color w:val="auto"/>
              </w:rPr>
              <w:t>产品和服务的要求确定、评审和更改</w:t>
            </w:r>
          </w:p>
        </w:tc>
        <w:tc>
          <w:tcPr>
            <w:tcW w:w="960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  <w:r>
              <w:rPr>
                <w:color w:val="auto"/>
              </w:rPr>
              <w:t>8.2</w:t>
            </w:r>
          </w:p>
        </w:tc>
        <w:tc>
          <w:tcPr>
            <w:tcW w:w="10004" w:type="dxa"/>
            <w:vAlign w:val="top"/>
          </w:tcPr>
          <w:p>
            <w:pPr>
              <w:spacing w:line="360" w:lineRule="auto"/>
              <w:ind w:firstLine="420" w:firstLineChars="200"/>
              <w:rPr>
                <w:color w:val="auto"/>
              </w:rPr>
            </w:pPr>
            <w:r>
              <w:rPr>
                <w:rFonts w:hint="eastAsia"/>
                <w:color w:val="auto"/>
                <w:lang w:val="en-US" w:eastAsia="zh-CN"/>
              </w:rPr>
              <w:t>市场部</w:t>
            </w:r>
            <w:r>
              <w:rPr>
                <w:rFonts w:hint="eastAsia"/>
                <w:color w:val="auto"/>
              </w:rPr>
              <w:t>经常对顾客进行走访，了解顾客的意见。</w:t>
            </w:r>
          </w:p>
          <w:p>
            <w:pPr>
              <w:spacing w:line="360" w:lineRule="auto"/>
              <w:rPr>
                <w:color w:val="auto"/>
              </w:rPr>
            </w:pPr>
            <w:r>
              <w:rPr>
                <w:rFonts w:hint="eastAsia"/>
                <w:color w:val="auto"/>
              </w:rPr>
              <w:t>售前：联系用户、了解相关信息等，与顾客签订合同或订单；</w:t>
            </w:r>
          </w:p>
          <w:p>
            <w:pPr>
              <w:spacing w:line="360" w:lineRule="auto"/>
              <w:rPr>
                <w:color w:val="auto"/>
              </w:rPr>
            </w:pPr>
            <w:r>
              <w:rPr>
                <w:rFonts w:hint="eastAsia"/>
                <w:color w:val="auto"/>
              </w:rPr>
              <w:t>售中：组织供方按期交付，解决用户对进度、质量等关切问题；</w:t>
            </w:r>
          </w:p>
          <w:p>
            <w:pPr>
              <w:spacing w:line="360" w:lineRule="auto"/>
              <w:rPr>
                <w:color w:val="auto"/>
              </w:rPr>
            </w:pPr>
            <w:r>
              <w:rPr>
                <w:rFonts w:hint="eastAsia"/>
                <w:color w:val="auto"/>
              </w:rPr>
              <w:t>售后：与客户保持密切沟通，不定期回访用户，并对顾客反馈问题解答。体系建立实施至今未发生顾客投诉。</w:t>
            </w:r>
          </w:p>
          <w:p>
            <w:pPr>
              <w:spacing w:line="360" w:lineRule="auto"/>
              <w:rPr>
                <w:color w:val="auto"/>
              </w:rPr>
            </w:pPr>
            <w:r>
              <w:rPr>
                <w:rFonts w:hint="eastAsia"/>
                <w:color w:val="auto"/>
                <w:lang w:eastAsia="zh-CN"/>
              </w:rPr>
              <w:t>市场部</w:t>
            </w:r>
            <w:r>
              <w:rPr>
                <w:rFonts w:hint="eastAsia"/>
                <w:color w:val="auto"/>
              </w:rPr>
              <w:t>获取供应、销售信息，与客户洽谈，在签订合同前对客户要求进行评审，确认可以满足行业有关法律、法规要求和公司规定及客户要求时，签订合同，根据销售合同为客户提供服务。</w:t>
            </w:r>
          </w:p>
          <w:p>
            <w:pPr>
              <w:spacing w:line="360" w:lineRule="auto"/>
              <w:ind w:firstLine="420" w:firstLineChars="200"/>
              <w:rPr>
                <w:color w:val="auto"/>
              </w:rPr>
            </w:pPr>
            <w:r>
              <w:rPr>
                <w:rFonts w:hint="eastAsia"/>
                <w:color w:val="auto"/>
              </w:rPr>
              <w:t>查销售合同</w:t>
            </w:r>
            <w:r>
              <w:rPr>
                <w:color w:val="auto"/>
              </w:rPr>
              <w:t>/</w:t>
            </w:r>
            <w:r>
              <w:rPr>
                <w:rFonts w:hint="eastAsia"/>
                <w:color w:val="auto"/>
              </w:rPr>
              <w:t>订单</w:t>
            </w:r>
            <w:r>
              <w:rPr>
                <w:color w:val="auto"/>
              </w:rPr>
              <w:t>/</w:t>
            </w:r>
            <w:r>
              <w:rPr>
                <w:rFonts w:hint="eastAsia"/>
                <w:color w:val="auto"/>
              </w:rPr>
              <w:t>报价单</w:t>
            </w:r>
          </w:p>
          <w:p>
            <w:pPr>
              <w:spacing w:line="360" w:lineRule="auto"/>
              <w:rPr>
                <w:color w:val="auto"/>
              </w:rPr>
            </w:pPr>
            <w:r>
              <w:rPr>
                <w:rFonts w:hint="eastAsia"/>
                <w:color w:val="auto"/>
                <w:lang w:val="en-US" w:eastAsia="zh-CN"/>
              </w:rPr>
              <w:t>1</w:t>
            </w:r>
            <w:r>
              <w:rPr>
                <w:rFonts w:hint="eastAsia"/>
                <w:color w:val="auto"/>
              </w:rPr>
              <w:t>客户：</w:t>
            </w:r>
            <w:r>
              <w:rPr>
                <w:rFonts w:hint="eastAsia" w:ascii="宋体" w:hAnsi="宋体"/>
                <w:b w:val="0"/>
                <w:bCs w:val="0"/>
                <w:color w:val="auto"/>
                <w:szCs w:val="21"/>
                <w:lang w:val="en-US" w:eastAsia="zh-CN"/>
              </w:rPr>
              <w:t>甘肃中电投新能源发电有限责任公司，   合同编号：GXNY-QT（2021）第02号</w:t>
            </w:r>
            <w:r>
              <w:rPr>
                <w:rFonts w:hint="eastAsia"/>
                <w:color w:val="auto"/>
                <w:lang w:val="en-US" w:eastAsia="zh-CN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left"/>
              <w:rPr>
                <w:rFonts w:hint="default" w:ascii="Times New Roman" w:hAnsi="Times New Roman" w:eastAsia="宋体" w:cs="Times New Roman"/>
                <w:color w:val="auto"/>
                <w:szCs w:val="22"/>
                <w:lang w:val="en-US"/>
              </w:rPr>
            </w:pPr>
            <w:r>
              <w:rPr>
                <w:rFonts w:hint="eastAsia"/>
                <w:color w:val="auto"/>
              </w:rPr>
              <w:t>产品</w:t>
            </w:r>
            <w:r>
              <w:rPr>
                <w:rFonts w:hint="eastAsia" w:ascii="Times New Roman" w:hAnsi="Times New Roman" w:eastAsia="宋体" w:cs="Times New Roman"/>
                <w:color w:val="auto"/>
                <w:szCs w:val="22"/>
              </w:rPr>
              <w:t>名称：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A4彩色封皮单面印刷、财务账册装订……     合同期限：自合同签订之日起至2021年12月31日。</w:t>
            </w:r>
          </w:p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left"/>
              <w:rPr>
                <w:rFonts w:hint="default" w:ascii="Times New Roman" w:hAnsi="Times New Roman" w:eastAsia="宋体" w:cs="Times New Roman"/>
                <w:color w:val="auto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Cs w:val="22"/>
              </w:rPr>
              <w:t>签订时间：</w:t>
            </w:r>
            <w:r>
              <w:rPr>
                <w:rFonts w:hint="eastAsia" w:ascii="宋体" w:hAnsi="宋体" w:eastAsia="宋体"/>
                <w:b w:val="0"/>
                <w:bCs w:val="0"/>
                <w:color w:val="auto"/>
                <w:szCs w:val="21"/>
                <w:lang w:val="en-US" w:eastAsia="zh-CN"/>
              </w:rPr>
              <w:t>2021.</w:t>
            </w:r>
            <w:r>
              <w:rPr>
                <w:rFonts w:hint="eastAsia" w:ascii="宋体" w:hAnsi="宋体"/>
                <w:b w:val="0"/>
                <w:bCs w:val="0"/>
                <w:color w:val="auto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eastAsia="宋体"/>
                <w:b w:val="0"/>
                <w:bCs w:val="0"/>
                <w:color w:val="auto"/>
                <w:szCs w:val="21"/>
                <w:lang w:val="en-US" w:eastAsia="zh-CN"/>
              </w:rPr>
              <w:t>.1</w:t>
            </w:r>
            <w:r>
              <w:rPr>
                <w:rFonts w:hint="eastAsia" w:ascii="宋体" w:hAnsi="宋体"/>
                <w:b w:val="0"/>
                <w:bCs w:val="0"/>
                <w:color w:val="auto"/>
                <w:szCs w:val="21"/>
                <w:lang w:val="en-US" w:eastAsia="zh-CN"/>
              </w:rPr>
              <w:t>9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bCs/>
                <w:color w:val="auto"/>
                <w:szCs w:val="24"/>
              </w:rPr>
            </w:pPr>
            <w:r>
              <w:rPr>
                <w:rFonts w:hint="eastAsia" w:ascii="宋体" w:hAnsi="宋体" w:cs="宋体"/>
                <w:bCs/>
                <w:color w:val="auto"/>
                <w:szCs w:val="24"/>
              </w:rPr>
              <w:t>合同明确了产品名称、单位、采购数量、规格、交货方式、结算、违约等。</w:t>
            </w:r>
          </w:p>
          <w:p>
            <w:pPr>
              <w:spacing w:line="360" w:lineRule="auto"/>
              <w:rPr>
                <w:color w:val="auto"/>
              </w:rPr>
            </w:pPr>
            <w:r>
              <w:rPr>
                <w:rFonts w:hint="eastAsia"/>
                <w:color w:val="auto"/>
              </w:rPr>
              <w:t>评审内容：</w:t>
            </w:r>
          </w:p>
          <w:p>
            <w:pPr>
              <w:spacing w:line="360" w:lineRule="auto"/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</w:rPr>
              <w:t>能否完成合同内容、能否满足顾客的要求、服务实施是否可行、合同的合法性、资金是否满足</w:t>
            </w:r>
          </w:p>
          <w:p>
            <w:pPr>
              <w:spacing w:line="360" w:lineRule="auto"/>
              <w:rPr>
                <w:rFonts w:hint="eastAsia"/>
                <w:color w:val="auto"/>
              </w:rPr>
            </w:pPr>
            <w:r>
              <w:rPr>
                <w:rFonts w:hint="eastAsia" w:ascii="宋体" w:hAnsi="宋体" w:cs="宋体"/>
                <w:color w:val="auto"/>
                <w:szCs w:val="21"/>
              </w:rPr>
              <w:t xml:space="preserve">评审结论：同意签订合同  </w:t>
            </w:r>
            <w:r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 w:cs="宋体"/>
                <w:color w:val="auto"/>
                <w:szCs w:val="21"/>
              </w:rPr>
              <w:t>批准人：</w:t>
            </w:r>
            <w:r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  <w:t>安华翠</w:t>
            </w:r>
            <w:r>
              <w:rPr>
                <w:rFonts w:hint="eastAsia" w:ascii="宋体" w:hAnsi="宋体" w:eastAsia="宋体" w:cs="宋体"/>
                <w:color w:val="auto"/>
                <w:szCs w:val="21"/>
              </w:rPr>
              <w:t xml:space="preserve">   日期：</w:t>
            </w:r>
            <w:r>
              <w:rPr>
                <w:rFonts w:hint="eastAsia" w:ascii="宋体" w:hAnsi="宋体" w:eastAsia="宋体" w:cs="宋体"/>
                <w:color w:val="auto"/>
                <w:szCs w:val="21"/>
                <w:lang w:eastAsia="zh-CN"/>
              </w:rPr>
              <w:t>20</w:t>
            </w:r>
            <w:r>
              <w:rPr>
                <w:rFonts w:hint="eastAsia" w:ascii="宋体" w:hAnsi="宋体" w:eastAsia="宋体" w:cs="宋体"/>
                <w:color w:val="auto"/>
                <w:szCs w:val="21"/>
                <w:lang w:val="en-US" w:eastAsia="zh-CN"/>
              </w:rPr>
              <w:t>21</w:t>
            </w:r>
            <w:r>
              <w:rPr>
                <w:rFonts w:hint="eastAsia" w:ascii="宋体" w:hAnsi="宋体" w:eastAsia="宋体" w:cs="宋体"/>
                <w:color w:val="auto"/>
                <w:szCs w:val="21"/>
              </w:rPr>
              <w:t>年</w:t>
            </w:r>
            <w:r>
              <w:rPr>
                <w:rFonts w:hint="eastAsia" w:ascii="宋体" w:hAnsi="宋体" w:eastAsia="宋体" w:cs="宋体"/>
                <w:color w:val="auto"/>
                <w:szCs w:val="21"/>
                <w:lang w:val="en-US" w:eastAsia="zh-CN"/>
              </w:rPr>
              <w:t>1</w:t>
            </w:r>
            <w:r>
              <w:rPr>
                <w:rFonts w:hint="eastAsia"/>
                <w:color w:val="auto"/>
              </w:rPr>
              <w:t>月</w:t>
            </w:r>
            <w:r>
              <w:rPr>
                <w:rFonts w:hint="eastAsia"/>
                <w:color w:val="auto"/>
                <w:lang w:val="en-US" w:eastAsia="zh-CN"/>
              </w:rPr>
              <w:t>18</w:t>
            </w:r>
            <w:r>
              <w:rPr>
                <w:rFonts w:hint="eastAsia"/>
                <w:color w:val="auto"/>
              </w:rPr>
              <w:t>日</w:t>
            </w:r>
          </w:p>
          <w:p>
            <w:pPr>
              <w:pStyle w:val="2"/>
              <w:rPr>
                <w:rFonts w:hint="eastAsia" w:eastAsia="宋体"/>
                <w:color w:val="auto"/>
                <w:lang w:val="en-US" w:eastAsia="zh-CN"/>
              </w:rPr>
            </w:pPr>
            <w:r>
              <w:drawing>
                <wp:inline distT="0" distB="0" distL="114300" distR="114300">
                  <wp:extent cx="1959610" cy="2426970"/>
                  <wp:effectExtent l="0" t="0" r="8890" b="11430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610" cy="242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1946910" cy="2450465"/>
                  <wp:effectExtent l="0" t="0" r="8890" b="635"/>
                  <wp:docPr id="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910" cy="245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2063115" cy="2440305"/>
                  <wp:effectExtent l="0" t="0" r="6985" b="10795"/>
                  <wp:docPr id="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115" cy="2440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rPr>
                <w:rFonts w:hint="eastAsia"/>
                <w:color w:val="auto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 w:eastAsia="宋体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2</w:t>
            </w:r>
            <w:r>
              <w:rPr>
                <w:rFonts w:hint="eastAsia"/>
                <w:color w:val="auto"/>
              </w:rPr>
              <w:t>客户：</w:t>
            </w:r>
            <w:r>
              <w:rPr>
                <w:rFonts w:hint="eastAsia" w:ascii="宋体" w:hAnsi="宋体"/>
                <w:b w:val="0"/>
                <w:bCs w:val="0"/>
                <w:color w:val="auto"/>
                <w:szCs w:val="21"/>
                <w:lang w:val="en-US" w:eastAsia="zh-CN"/>
              </w:rPr>
              <w:t>兰州大学出版社有限责任公司</w:t>
            </w:r>
            <w:r>
              <w:rPr>
                <w:rFonts w:hint="eastAsia"/>
                <w:color w:val="auto"/>
                <w:lang w:val="en-US" w:eastAsia="zh-CN"/>
              </w:rPr>
              <w:t xml:space="preserve">  </w:t>
            </w:r>
          </w:p>
          <w:p>
            <w:pPr>
              <w:spacing w:line="360" w:lineRule="auto"/>
              <w:rPr>
                <w:rFonts w:hint="default" w:eastAsia="宋体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</w:rPr>
              <w:t>产品名称：</w:t>
            </w:r>
            <w:r>
              <w:rPr>
                <w:rFonts w:hint="eastAsia"/>
                <w:color w:val="auto"/>
                <w:lang w:val="en-US" w:eastAsia="zh-CN"/>
              </w:rPr>
              <w:t>黑白单面、彩色单面……</w:t>
            </w:r>
          </w:p>
          <w:p>
            <w:pPr>
              <w:spacing w:line="360" w:lineRule="auto"/>
              <w:rPr>
                <w:rFonts w:hint="default" w:eastAsia="宋体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Cs w:val="22"/>
              </w:rPr>
              <w:t>签订时间：</w:t>
            </w:r>
            <w:r>
              <w:rPr>
                <w:rFonts w:hint="eastAsia" w:ascii="宋体" w:hAnsi="宋体" w:eastAsia="宋体"/>
                <w:b w:val="0"/>
                <w:bCs w:val="0"/>
                <w:color w:val="auto"/>
                <w:szCs w:val="21"/>
                <w:lang w:val="en-US" w:eastAsia="zh-CN"/>
              </w:rPr>
              <w:t>2021.</w:t>
            </w:r>
            <w:r>
              <w:rPr>
                <w:rFonts w:hint="eastAsia" w:ascii="宋体" w:hAnsi="宋体"/>
                <w:b w:val="0"/>
                <w:bCs w:val="0"/>
                <w:color w:val="auto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eastAsia="宋体"/>
                <w:b w:val="0"/>
                <w:bCs w:val="0"/>
                <w:color w:val="auto"/>
                <w:szCs w:val="21"/>
                <w:lang w:val="en-US" w:eastAsia="zh-CN"/>
              </w:rPr>
              <w:t>.</w:t>
            </w:r>
            <w:r>
              <w:rPr>
                <w:rFonts w:hint="eastAsia" w:ascii="宋体" w:hAnsi="宋体"/>
                <w:b w:val="0"/>
                <w:bCs w:val="0"/>
                <w:color w:val="auto"/>
                <w:szCs w:val="21"/>
                <w:lang w:val="en-US" w:eastAsia="zh-CN"/>
              </w:rPr>
              <w:t>8   合同长期有效</w:t>
            </w:r>
          </w:p>
          <w:p>
            <w:pPr>
              <w:spacing w:line="360" w:lineRule="auto"/>
              <w:rPr>
                <w:color w:val="auto"/>
              </w:rPr>
            </w:pPr>
            <w:r>
              <w:rPr>
                <w:rFonts w:hint="eastAsia"/>
                <w:color w:val="auto"/>
              </w:rPr>
              <w:t>评审内容：</w:t>
            </w:r>
          </w:p>
          <w:p>
            <w:pPr>
              <w:spacing w:line="360" w:lineRule="auto"/>
              <w:rPr>
                <w:color w:val="auto"/>
              </w:rPr>
            </w:pPr>
            <w:r>
              <w:rPr>
                <w:rFonts w:hint="eastAsia"/>
                <w:color w:val="auto"/>
              </w:rPr>
              <w:t>能否完成合同内容、能否满足顾客的要求、服务实施是否可行、合同的合法性、资金是否满足</w:t>
            </w:r>
          </w:p>
          <w:p>
            <w:pPr>
              <w:spacing w:line="360" w:lineRule="auto"/>
              <w:rPr>
                <w:rFonts w:hint="eastAsia"/>
                <w:color w:val="auto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Cs w:val="21"/>
              </w:rPr>
              <w:t xml:space="preserve">评审结论：同意签订合同  </w:t>
            </w:r>
            <w:r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 w:cs="宋体"/>
                <w:color w:val="auto"/>
                <w:szCs w:val="21"/>
              </w:rPr>
              <w:t>批准人：</w:t>
            </w:r>
            <w:r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  <w:t>安华翠</w:t>
            </w:r>
            <w:r>
              <w:rPr>
                <w:rFonts w:hint="eastAsia" w:ascii="宋体" w:hAnsi="宋体" w:eastAsia="宋体" w:cs="宋体"/>
                <w:color w:val="auto"/>
                <w:szCs w:val="21"/>
              </w:rPr>
              <w:t xml:space="preserve">  </w:t>
            </w:r>
            <w:r>
              <w:rPr>
                <w:rFonts w:hint="eastAsia" w:ascii="宋体" w:hAnsi="宋体" w:eastAsia="宋体" w:cs="宋体"/>
                <w:color w:val="auto"/>
                <w:szCs w:val="21"/>
                <w:lang w:val="en-US" w:eastAsia="zh-CN"/>
              </w:rPr>
              <w:t xml:space="preserve">   </w:t>
            </w:r>
            <w:r>
              <w:rPr>
                <w:rFonts w:hint="eastAsia" w:ascii="宋体" w:hAnsi="宋体" w:eastAsia="宋体" w:cs="宋体"/>
                <w:color w:val="auto"/>
                <w:szCs w:val="21"/>
              </w:rPr>
              <w:t xml:space="preserve"> 日期：</w:t>
            </w:r>
            <w:r>
              <w:rPr>
                <w:rFonts w:hint="eastAsia" w:ascii="宋体" w:hAnsi="宋体" w:eastAsia="宋体" w:cs="宋体"/>
                <w:color w:val="auto"/>
                <w:szCs w:val="21"/>
                <w:lang w:eastAsia="zh-CN"/>
              </w:rPr>
              <w:t>20</w:t>
            </w:r>
            <w:r>
              <w:rPr>
                <w:rFonts w:hint="eastAsia" w:ascii="宋体" w:hAnsi="宋体" w:eastAsia="宋体" w:cs="宋体"/>
                <w:color w:val="auto"/>
                <w:szCs w:val="21"/>
                <w:lang w:val="en-US" w:eastAsia="zh-CN"/>
              </w:rPr>
              <w:t>21</w:t>
            </w:r>
            <w:r>
              <w:rPr>
                <w:rFonts w:hint="eastAsia" w:ascii="宋体" w:hAnsi="宋体" w:eastAsia="宋体" w:cs="宋体"/>
                <w:color w:val="auto"/>
                <w:szCs w:val="21"/>
              </w:rPr>
              <w:t>年</w:t>
            </w:r>
            <w:r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  <w:t>1</w:t>
            </w:r>
            <w:r>
              <w:rPr>
                <w:rFonts w:hint="eastAsia"/>
                <w:color w:val="auto"/>
              </w:rPr>
              <w:t>月</w:t>
            </w:r>
            <w:r>
              <w:rPr>
                <w:rFonts w:hint="eastAsia"/>
                <w:color w:val="auto"/>
                <w:lang w:val="en-US" w:eastAsia="zh-CN"/>
              </w:rPr>
              <w:t>7</w:t>
            </w:r>
            <w:r>
              <w:rPr>
                <w:rFonts w:hint="eastAsia"/>
                <w:color w:val="auto"/>
              </w:rPr>
              <w:t>日</w:t>
            </w:r>
          </w:p>
          <w:p>
            <w:pPr>
              <w:pStyle w:val="3"/>
              <w:spacing w:line="360" w:lineRule="auto"/>
              <w:jc w:val="left"/>
              <w:rPr>
                <w:rFonts w:hint="eastAsia" w:eastAsia="宋体"/>
                <w:lang w:val="en-US" w:eastAsia="zh-CN"/>
              </w:rPr>
            </w:pPr>
            <w:r>
              <w:drawing>
                <wp:inline distT="0" distB="0" distL="114300" distR="114300">
                  <wp:extent cx="1988185" cy="2545715"/>
                  <wp:effectExtent l="0" t="0" r="5715" b="6985"/>
                  <wp:docPr id="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185" cy="254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1866900" cy="2524125"/>
                  <wp:effectExtent l="0" t="0" r="0" b="3175"/>
                  <wp:docPr id="10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1917700" cy="2512695"/>
                  <wp:effectExtent l="0" t="0" r="0" b="1905"/>
                  <wp:docPr id="11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251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4"/>
              <w:rPr>
                <w:rFonts w:hint="default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 w:eastAsia="宋体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3</w:t>
            </w:r>
            <w:r>
              <w:rPr>
                <w:rFonts w:hint="eastAsia"/>
                <w:color w:val="auto"/>
              </w:rPr>
              <w:t>客</w:t>
            </w:r>
            <w:r>
              <w:rPr>
                <w:rFonts w:hint="eastAsia" w:ascii="Times New Roman" w:hAnsi="Times New Roman" w:eastAsia="宋体" w:cs="Times New Roman"/>
                <w:color w:val="auto"/>
              </w:rPr>
              <w:t>户：</w:t>
            </w:r>
            <w:r>
              <w:rPr>
                <w:rFonts w:hint="eastAsia" w:cs="Times New Roman"/>
                <w:color w:val="auto"/>
                <w:lang w:val="en-US" w:eastAsia="zh-CN"/>
              </w:rPr>
              <w:t>甘肃省水利水电勘测设计研究院有限责任公司</w:t>
            </w:r>
            <w:r>
              <w:rPr>
                <w:rFonts w:hint="eastAsia"/>
                <w:color w:val="auto"/>
                <w:lang w:val="en-US" w:eastAsia="zh-CN"/>
              </w:rPr>
              <w:t xml:space="preserve">  </w:t>
            </w:r>
          </w:p>
          <w:p>
            <w:pPr>
              <w:spacing w:line="360" w:lineRule="auto"/>
              <w:rPr>
                <w:rFonts w:hint="eastAsia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产品</w:t>
            </w:r>
            <w:r>
              <w:rPr>
                <w:rFonts w:hint="eastAsia"/>
                <w:color w:val="auto"/>
              </w:rPr>
              <w:t>名称：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《情系江河--</w:t>
            </w:r>
            <w:r>
              <w:rPr>
                <w:rFonts w:hint="eastAsia" w:cs="Times New Roman"/>
                <w:color w:val="auto"/>
                <w:lang w:val="en-US" w:eastAsia="zh-CN"/>
              </w:rPr>
              <w:t>甘肃省水利水电勘测设计研究院建院60周年纪念文集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》</w:t>
            </w:r>
          </w:p>
          <w:p>
            <w:pPr>
              <w:spacing w:line="360" w:lineRule="auto"/>
              <w:rPr>
                <w:rFonts w:hint="default" w:eastAsia="宋体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Cs w:val="22"/>
              </w:rPr>
              <w:t>签订时间：</w:t>
            </w:r>
            <w:r>
              <w:rPr>
                <w:rFonts w:hint="eastAsia" w:ascii="宋体" w:hAnsi="宋体" w:eastAsia="宋体"/>
                <w:b w:val="0"/>
                <w:bCs w:val="0"/>
                <w:color w:val="auto"/>
                <w:szCs w:val="21"/>
                <w:lang w:val="en-US" w:eastAsia="zh-CN"/>
              </w:rPr>
              <w:t>2021.</w:t>
            </w:r>
            <w:r>
              <w:rPr>
                <w:rFonts w:hint="eastAsia" w:ascii="宋体" w:hAnsi="宋体"/>
                <w:b w:val="0"/>
                <w:bCs w:val="0"/>
                <w:color w:val="auto"/>
                <w:szCs w:val="21"/>
                <w:lang w:val="en-US" w:eastAsia="zh-CN"/>
              </w:rPr>
              <w:t>10</w:t>
            </w:r>
            <w:r>
              <w:rPr>
                <w:rFonts w:hint="eastAsia" w:ascii="宋体" w:hAnsi="宋体" w:eastAsia="宋体"/>
                <w:b w:val="0"/>
                <w:bCs w:val="0"/>
                <w:color w:val="auto"/>
                <w:szCs w:val="21"/>
                <w:lang w:val="en-US" w:eastAsia="zh-CN"/>
              </w:rPr>
              <w:t>.</w:t>
            </w:r>
            <w:r>
              <w:rPr>
                <w:rFonts w:hint="eastAsia" w:ascii="宋体" w:hAnsi="宋体"/>
                <w:b w:val="0"/>
                <w:bCs w:val="0"/>
                <w:color w:val="auto"/>
                <w:szCs w:val="21"/>
                <w:lang w:val="en-US" w:eastAsia="zh-CN"/>
              </w:rPr>
              <w:t>16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bCs/>
                <w:color w:val="auto"/>
                <w:szCs w:val="24"/>
              </w:rPr>
            </w:pPr>
            <w:r>
              <w:rPr>
                <w:rFonts w:hint="eastAsia" w:ascii="宋体" w:hAnsi="宋体" w:cs="宋体"/>
                <w:bCs/>
                <w:color w:val="auto"/>
                <w:szCs w:val="24"/>
              </w:rPr>
              <w:t>合同明确了产品名称、单位、采购数量、规格、交货方式、结算、违约等。</w:t>
            </w:r>
          </w:p>
          <w:p>
            <w:pPr>
              <w:spacing w:line="360" w:lineRule="auto"/>
              <w:rPr>
                <w:color w:val="auto"/>
              </w:rPr>
            </w:pPr>
            <w:r>
              <w:rPr>
                <w:rFonts w:hint="eastAsia"/>
                <w:color w:val="auto"/>
              </w:rPr>
              <w:t>能否完成合同内容、能否满足顾客的要求、服务实施是否可行、合同的合法性、资金是否满足</w:t>
            </w:r>
          </w:p>
          <w:p>
            <w:pPr>
              <w:spacing w:line="360" w:lineRule="auto"/>
              <w:rPr>
                <w:rFonts w:hint="eastAsia"/>
                <w:color w:val="auto"/>
              </w:rPr>
            </w:pPr>
            <w:r>
              <w:rPr>
                <w:rFonts w:hint="eastAsia" w:ascii="宋体" w:hAnsi="宋体" w:cs="宋体"/>
                <w:color w:val="auto"/>
                <w:szCs w:val="21"/>
              </w:rPr>
              <w:t xml:space="preserve">评审结论：同意签订合同  </w:t>
            </w:r>
            <w:r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 w:cs="宋体"/>
                <w:color w:val="auto"/>
                <w:szCs w:val="21"/>
              </w:rPr>
              <w:t>批准人：</w:t>
            </w:r>
            <w:r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  <w:t>安华翠</w:t>
            </w:r>
            <w:r>
              <w:rPr>
                <w:rFonts w:hint="eastAsia" w:ascii="宋体" w:hAnsi="宋体" w:eastAsia="宋体" w:cs="宋体"/>
                <w:color w:val="auto"/>
                <w:szCs w:val="21"/>
              </w:rPr>
              <w:t xml:space="preserve">  </w:t>
            </w:r>
            <w:r>
              <w:rPr>
                <w:rFonts w:hint="eastAsia" w:ascii="宋体" w:hAnsi="宋体" w:eastAsia="宋体" w:cs="宋体"/>
                <w:color w:val="auto"/>
                <w:szCs w:val="21"/>
                <w:lang w:val="en-US" w:eastAsia="zh-CN"/>
              </w:rPr>
              <w:t xml:space="preserve">   </w:t>
            </w:r>
            <w:r>
              <w:rPr>
                <w:rFonts w:hint="eastAsia" w:ascii="宋体" w:hAnsi="宋体" w:eastAsia="宋体" w:cs="宋体"/>
                <w:color w:val="auto"/>
                <w:szCs w:val="21"/>
              </w:rPr>
              <w:t xml:space="preserve"> 日期：</w:t>
            </w:r>
            <w:r>
              <w:rPr>
                <w:rFonts w:hint="eastAsia" w:ascii="宋体" w:hAnsi="宋体" w:eastAsia="宋体" w:cs="宋体"/>
                <w:color w:val="auto"/>
                <w:szCs w:val="21"/>
                <w:lang w:eastAsia="zh-CN"/>
              </w:rPr>
              <w:t>20</w:t>
            </w:r>
            <w:r>
              <w:rPr>
                <w:rFonts w:hint="eastAsia" w:ascii="宋体" w:hAnsi="宋体" w:eastAsia="宋体" w:cs="宋体"/>
                <w:color w:val="auto"/>
                <w:szCs w:val="21"/>
                <w:lang w:val="en-US" w:eastAsia="zh-CN"/>
              </w:rPr>
              <w:t>21</w:t>
            </w:r>
            <w:r>
              <w:rPr>
                <w:rFonts w:hint="eastAsia" w:ascii="宋体" w:hAnsi="宋体" w:eastAsia="宋体" w:cs="宋体"/>
                <w:color w:val="auto"/>
                <w:szCs w:val="21"/>
              </w:rPr>
              <w:t>年</w:t>
            </w:r>
            <w:r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  <w:t>10</w:t>
            </w:r>
            <w:r>
              <w:rPr>
                <w:rFonts w:hint="eastAsia"/>
                <w:color w:val="auto"/>
              </w:rPr>
              <w:t>月</w:t>
            </w:r>
            <w:r>
              <w:rPr>
                <w:rFonts w:hint="eastAsia"/>
                <w:color w:val="auto"/>
                <w:lang w:val="en-US" w:eastAsia="zh-CN"/>
              </w:rPr>
              <w:t>15</w:t>
            </w:r>
            <w:r>
              <w:rPr>
                <w:rFonts w:hint="eastAsia"/>
                <w:color w:val="auto"/>
              </w:rPr>
              <w:t>日</w:t>
            </w:r>
          </w:p>
          <w:p>
            <w:pPr>
              <w:pStyle w:val="2"/>
              <w:rPr>
                <w:rFonts w:hint="eastAsia"/>
                <w:color w:val="auto"/>
              </w:rPr>
            </w:pPr>
          </w:p>
          <w:p>
            <w:pPr>
              <w:pStyle w:val="2"/>
              <w:rPr>
                <w:rFonts w:hint="eastAsia" w:eastAsia="宋体"/>
                <w:color w:val="auto"/>
                <w:lang w:val="en-US" w:eastAsia="zh-CN"/>
              </w:rPr>
            </w:pPr>
            <w:r>
              <w:drawing>
                <wp:inline distT="0" distB="0" distL="114300" distR="114300">
                  <wp:extent cx="2228850" cy="3028315"/>
                  <wp:effectExtent l="0" t="0" r="6350" b="6985"/>
                  <wp:docPr id="12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3028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2261870" cy="3022600"/>
                  <wp:effectExtent l="0" t="0" r="11430" b="0"/>
                  <wp:docPr id="1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870" cy="302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 w:eastAsia="宋体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4</w:t>
            </w:r>
            <w:r>
              <w:rPr>
                <w:rFonts w:hint="eastAsia"/>
                <w:color w:val="auto"/>
              </w:rPr>
              <w:t>客</w:t>
            </w:r>
            <w:r>
              <w:rPr>
                <w:rFonts w:hint="eastAsia" w:ascii="Times New Roman" w:hAnsi="Times New Roman" w:eastAsia="宋体" w:cs="Times New Roman"/>
                <w:color w:val="auto"/>
              </w:rPr>
              <w:t>户：</w:t>
            </w:r>
            <w:r>
              <w:rPr>
                <w:rFonts w:hint="eastAsia" w:ascii="宋体" w:hAnsi="宋体"/>
                <w:b w:val="0"/>
                <w:bCs w:val="0"/>
                <w:color w:val="auto"/>
                <w:szCs w:val="21"/>
              </w:rPr>
              <w:t>甘肃文化出版社有限责任公司</w:t>
            </w:r>
            <w:r>
              <w:rPr>
                <w:rFonts w:hint="eastAsia"/>
                <w:color w:val="auto"/>
                <w:lang w:val="en-US" w:eastAsia="zh-CN"/>
              </w:rPr>
              <w:t xml:space="preserve">  </w:t>
            </w:r>
          </w:p>
          <w:p>
            <w:pPr>
              <w:spacing w:line="360" w:lineRule="auto"/>
              <w:rPr>
                <w:rFonts w:hint="default" w:eastAsia="宋体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产品</w:t>
            </w:r>
            <w:r>
              <w:rPr>
                <w:rFonts w:hint="eastAsia"/>
                <w:color w:val="auto"/>
              </w:rPr>
              <w:t>名称：</w:t>
            </w:r>
            <w:r>
              <w:rPr>
                <w:rFonts w:hint="eastAsia" w:ascii="宋体" w:hAnsi="宋体"/>
                <w:b w:val="0"/>
                <w:bCs w:val="0"/>
                <w:color w:val="auto"/>
                <w:szCs w:val="21"/>
              </w:rPr>
              <w:t>《</w:t>
            </w:r>
            <w:r>
              <w:rPr>
                <w:rFonts w:hint="eastAsia" w:ascii="宋体" w:hAnsi="宋体"/>
                <w:b w:val="0"/>
                <w:bCs w:val="0"/>
                <w:color w:val="auto"/>
                <w:szCs w:val="21"/>
                <w:lang w:val="en-US" w:eastAsia="zh-CN"/>
              </w:rPr>
              <w:t>甘肃省志-共青团志</w:t>
            </w:r>
            <w:r>
              <w:rPr>
                <w:rFonts w:hint="eastAsia" w:ascii="宋体" w:hAnsi="宋体"/>
                <w:b w:val="0"/>
                <w:bCs w:val="0"/>
                <w:color w:val="auto"/>
                <w:szCs w:val="21"/>
              </w:rPr>
              <w:t>》</w:t>
            </w:r>
            <w:r>
              <w:rPr>
                <w:rFonts w:hint="eastAsia" w:ascii="宋体" w:hAnsi="宋体"/>
                <w:b w:val="0"/>
                <w:bCs w:val="0"/>
                <w:color w:val="auto"/>
                <w:szCs w:val="21"/>
                <w:lang w:val="en-US" w:eastAsia="zh-CN"/>
              </w:rPr>
              <w:t>出版物排版设计</w:t>
            </w:r>
          </w:p>
          <w:p>
            <w:pPr>
              <w:spacing w:line="360" w:lineRule="auto"/>
              <w:rPr>
                <w:rFonts w:hint="default" w:eastAsia="宋体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Cs w:val="22"/>
              </w:rPr>
              <w:t>签订时间：</w:t>
            </w:r>
            <w:r>
              <w:rPr>
                <w:rFonts w:hint="eastAsia" w:ascii="宋体" w:hAnsi="宋体"/>
                <w:b w:val="0"/>
                <w:bCs w:val="0"/>
                <w:color w:val="auto"/>
                <w:szCs w:val="21"/>
                <w:lang w:val="en-US" w:eastAsia="zh-CN"/>
              </w:rPr>
              <w:t>2021.5.10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bCs/>
                <w:color w:val="auto"/>
                <w:szCs w:val="24"/>
              </w:rPr>
            </w:pPr>
            <w:r>
              <w:rPr>
                <w:rFonts w:hint="eastAsia" w:ascii="宋体" w:hAnsi="宋体" w:cs="宋体"/>
                <w:bCs/>
                <w:color w:val="auto"/>
                <w:szCs w:val="24"/>
              </w:rPr>
              <w:t>合同明确了产品名称、单位、采购数量、规格、交货方式、结算、违约等。</w:t>
            </w:r>
          </w:p>
          <w:p>
            <w:pPr>
              <w:spacing w:line="360" w:lineRule="auto"/>
              <w:rPr>
                <w:color w:val="auto"/>
              </w:rPr>
            </w:pPr>
            <w:r>
              <w:rPr>
                <w:rFonts w:hint="eastAsia"/>
                <w:color w:val="auto"/>
              </w:rPr>
              <w:t>能否完成合同内容、能否满足顾客的要求、服务实施是否可行、合同的合法性、资金是否满足</w:t>
            </w:r>
          </w:p>
          <w:p>
            <w:pPr>
              <w:spacing w:line="360" w:lineRule="auto"/>
              <w:rPr>
                <w:rFonts w:hint="eastAsia"/>
                <w:color w:val="auto"/>
              </w:rPr>
            </w:pPr>
            <w:r>
              <w:rPr>
                <w:rFonts w:hint="eastAsia" w:ascii="宋体" w:hAnsi="宋体" w:cs="宋体"/>
                <w:color w:val="auto"/>
                <w:szCs w:val="21"/>
              </w:rPr>
              <w:t xml:space="preserve">评审结论：同意签订合同  </w:t>
            </w:r>
            <w:r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 w:cs="宋体"/>
                <w:color w:val="auto"/>
                <w:szCs w:val="21"/>
              </w:rPr>
              <w:t>批准人：</w:t>
            </w:r>
            <w:r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  <w:t>安华翠</w:t>
            </w:r>
            <w:r>
              <w:rPr>
                <w:rFonts w:hint="eastAsia" w:ascii="宋体" w:hAnsi="宋体" w:eastAsia="宋体" w:cs="宋体"/>
                <w:color w:val="auto"/>
                <w:szCs w:val="21"/>
              </w:rPr>
              <w:t xml:space="preserve">  </w:t>
            </w:r>
            <w:r>
              <w:rPr>
                <w:rFonts w:hint="eastAsia" w:ascii="宋体" w:hAnsi="宋体" w:eastAsia="宋体" w:cs="宋体"/>
                <w:color w:val="auto"/>
                <w:szCs w:val="21"/>
                <w:lang w:val="en-US" w:eastAsia="zh-CN"/>
              </w:rPr>
              <w:t xml:space="preserve">   </w:t>
            </w:r>
            <w:r>
              <w:rPr>
                <w:rFonts w:hint="eastAsia" w:ascii="宋体" w:hAnsi="宋体" w:eastAsia="宋体" w:cs="宋体"/>
                <w:color w:val="auto"/>
                <w:szCs w:val="21"/>
              </w:rPr>
              <w:t xml:space="preserve"> 日期：</w:t>
            </w:r>
            <w:r>
              <w:rPr>
                <w:rFonts w:hint="eastAsia" w:ascii="宋体" w:hAnsi="宋体" w:eastAsia="宋体" w:cs="宋体"/>
                <w:color w:val="auto"/>
                <w:szCs w:val="21"/>
                <w:lang w:eastAsia="zh-CN"/>
              </w:rPr>
              <w:t>20</w:t>
            </w:r>
            <w:r>
              <w:rPr>
                <w:rFonts w:hint="eastAsia" w:ascii="宋体" w:hAnsi="宋体" w:eastAsia="宋体" w:cs="宋体"/>
                <w:color w:val="auto"/>
                <w:szCs w:val="21"/>
                <w:lang w:val="en-US" w:eastAsia="zh-CN"/>
              </w:rPr>
              <w:t>21</w:t>
            </w:r>
            <w:r>
              <w:rPr>
                <w:rFonts w:hint="eastAsia" w:ascii="宋体" w:hAnsi="宋体" w:eastAsia="宋体" w:cs="宋体"/>
                <w:color w:val="auto"/>
                <w:szCs w:val="21"/>
              </w:rPr>
              <w:t>年</w:t>
            </w:r>
            <w:r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  <w:t>5</w:t>
            </w:r>
            <w:r>
              <w:rPr>
                <w:rFonts w:hint="eastAsia"/>
                <w:color w:val="auto"/>
              </w:rPr>
              <w:t>月</w:t>
            </w:r>
            <w:r>
              <w:rPr>
                <w:rFonts w:hint="eastAsia"/>
                <w:color w:val="auto"/>
                <w:lang w:val="en-US" w:eastAsia="zh-CN"/>
              </w:rPr>
              <w:t>11</w:t>
            </w:r>
            <w:r>
              <w:rPr>
                <w:rFonts w:hint="eastAsia"/>
                <w:color w:val="auto"/>
              </w:rPr>
              <w:t>日</w:t>
            </w:r>
          </w:p>
          <w:p>
            <w:pPr>
              <w:pStyle w:val="2"/>
              <w:rPr>
                <w:rFonts w:hint="eastAsia"/>
                <w:color w:val="auto"/>
              </w:rPr>
            </w:pPr>
          </w:p>
          <w:p>
            <w:pPr>
              <w:pStyle w:val="2"/>
              <w:rPr>
                <w:rFonts w:hint="default" w:eastAsia="宋体"/>
                <w:color w:val="auto"/>
                <w:lang w:val="en-US" w:eastAsia="zh-CN"/>
              </w:rPr>
            </w:pPr>
            <w:r>
              <w:drawing>
                <wp:inline distT="0" distB="0" distL="114300" distR="114300">
                  <wp:extent cx="2307590" cy="3009900"/>
                  <wp:effectExtent l="0" t="0" r="3810" b="0"/>
                  <wp:docPr id="20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759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 </w:t>
            </w:r>
            <w:r>
              <w:drawing>
                <wp:inline distT="0" distB="0" distL="114300" distR="114300">
                  <wp:extent cx="2209165" cy="2977515"/>
                  <wp:effectExtent l="0" t="0" r="635" b="6985"/>
                  <wp:docPr id="21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165" cy="297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rPr>
                <w:rFonts w:hint="eastAsia"/>
                <w:color w:val="auto"/>
              </w:rPr>
            </w:pPr>
          </w:p>
          <w:p>
            <w:pPr>
              <w:spacing w:line="360" w:lineRule="auto"/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</w:rPr>
              <w:t>另抽其他合同评审记录，均保存完好，有合同评审记录。符合要求。</w:t>
            </w:r>
          </w:p>
          <w:p>
            <w:pPr>
              <w:spacing w:line="360" w:lineRule="auto"/>
              <w:rPr>
                <w:rFonts w:hint="eastAsia"/>
                <w:color w:val="auto"/>
              </w:rPr>
            </w:pPr>
          </w:p>
          <w:p>
            <w:pPr>
              <w:spacing w:line="360" w:lineRule="auto"/>
              <w:ind w:firstLine="420" w:firstLineChars="200"/>
              <w:rPr>
                <w:color w:val="auto"/>
              </w:rPr>
            </w:pPr>
            <w:r>
              <w:rPr>
                <w:rFonts w:hint="eastAsia"/>
                <w:color w:val="auto"/>
              </w:rPr>
              <w:t>公司通过传真、邮件及电话等方式与顾客交流，主要进行以下沟通：</w:t>
            </w:r>
          </w:p>
          <w:p>
            <w:pPr>
              <w:spacing w:line="360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  <w:r>
              <w:rPr>
                <w:rFonts w:hint="eastAsia"/>
                <w:color w:val="auto"/>
              </w:rPr>
              <w:t>、向顾客提供保证产品质量的有关信息，保修及应急措施。</w:t>
            </w:r>
          </w:p>
          <w:p>
            <w:pPr>
              <w:spacing w:line="360" w:lineRule="auto"/>
              <w:rPr>
                <w:color w:val="auto"/>
              </w:rPr>
            </w:pPr>
            <w:r>
              <w:rPr>
                <w:color w:val="auto"/>
              </w:rPr>
              <w:t>2</w:t>
            </w:r>
            <w:r>
              <w:rPr>
                <w:rFonts w:hint="eastAsia"/>
                <w:color w:val="auto"/>
              </w:rPr>
              <w:t>、接受顾客问询、询价、合同的处理。</w:t>
            </w:r>
          </w:p>
          <w:p>
            <w:pPr>
              <w:spacing w:line="360" w:lineRule="auto"/>
              <w:rPr>
                <w:color w:val="auto"/>
              </w:rPr>
            </w:pPr>
            <w:r>
              <w:rPr>
                <w:color w:val="auto"/>
              </w:rPr>
              <w:t>3</w:t>
            </w:r>
            <w:r>
              <w:rPr>
                <w:rFonts w:hint="eastAsia"/>
                <w:color w:val="auto"/>
              </w:rPr>
              <w:t>、根据合同要求进行有关的事宜，对顾客的投诉或意见进行处理和答复。</w:t>
            </w:r>
          </w:p>
          <w:p>
            <w:pPr>
              <w:spacing w:line="360" w:lineRule="auto"/>
              <w:rPr>
                <w:color w:val="auto"/>
              </w:rPr>
            </w:pPr>
            <w:r>
              <w:rPr>
                <w:color w:val="auto"/>
              </w:rPr>
              <w:t>4</w:t>
            </w:r>
            <w:r>
              <w:rPr>
                <w:rFonts w:hint="eastAsia"/>
                <w:color w:val="auto"/>
              </w:rPr>
              <w:t>、合理处理顾客财产，主要是顾客报修产品。</w:t>
            </w:r>
          </w:p>
          <w:p>
            <w:pPr>
              <w:spacing w:line="360" w:lineRule="auto"/>
              <w:rPr>
                <w:color w:val="auto"/>
              </w:rPr>
            </w:pPr>
            <w:r>
              <w:rPr>
                <w:rFonts w:hint="eastAsia"/>
                <w:color w:val="auto"/>
              </w:rPr>
              <w:t>目前沟通渠道畅通</w:t>
            </w:r>
          </w:p>
          <w:p>
            <w:pPr>
              <w:spacing w:line="360" w:lineRule="auto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color w:val="auto"/>
              </w:rPr>
              <w:t>目前无合同更改情况发生。</w:t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2160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color w:val="auto"/>
              </w:rPr>
              <w:t>外部提供过程、产品和服务过程管理</w:t>
            </w:r>
          </w:p>
        </w:tc>
        <w:tc>
          <w:tcPr>
            <w:tcW w:w="960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  <w:r>
              <w:rPr>
                <w:color w:val="auto"/>
              </w:rPr>
              <w:t>8.4</w:t>
            </w:r>
          </w:p>
        </w:tc>
        <w:tc>
          <w:tcPr>
            <w:tcW w:w="10004" w:type="dxa"/>
            <w:vAlign w:val="top"/>
          </w:tcPr>
          <w:p>
            <w:pPr>
              <w:spacing w:line="360" w:lineRule="auto"/>
              <w:ind w:firstLine="420" w:firstLineChars="200"/>
              <w:rPr>
                <w:color w:val="auto"/>
              </w:rPr>
            </w:pPr>
            <w:r>
              <w:rPr>
                <w:rFonts w:hint="eastAsia"/>
                <w:color w:val="auto"/>
              </w:rPr>
              <w:t>编制的《</w:t>
            </w:r>
            <w:r>
              <w:rPr>
                <w:rFonts w:hint="eastAsia"/>
                <w:color w:val="auto"/>
                <w:lang w:eastAsia="zh-CN"/>
              </w:rPr>
              <w:t>采购控制程序</w:t>
            </w:r>
            <w:r>
              <w:rPr>
                <w:rFonts w:hint="eastAsia"/>
                <w:color w:val="auto"/>
              </w:rPr>
              <w:t>》中，确定了对外部供方实施的具体控制要求，旨在确保产品能够按计划提供，并符合要求，为确保外部提供的过程、产品不会对企业稳定地向顾客提供合格的产品的能力产生不利影响。</w:t>
            </w:r>
          </w:p>
          <w:p>
            <w:pPr>
              <w:spacing w:line="360" w:lineRule="auto"/>
              <w:rPr>
                <w:color w:val="auto"/>
              </w:rPr>
            </w:pPr>
            <w:r>
              <w:rPr>
                <w:rFonts w:hint="eastAsia"/>
                <w:color w:val="auto"/>
              </w:rPr>
              <w:t>负责人讲，</w:t>
            </w:r>
            <w:r>
              <w:rPr>
                <w:rFonts w:hint="eastAsia"/>
                <w:color w:val="auto"/>
                <w:lang w:eastAsia="zh-CN"/>
              </w:rPr>
              <w:t>市场部</w:t>
            </w:r>
            <w:r>
              <w:rPr>
                <w:rFonts w:hint="eastAsia"/>
                <w:color w:val="auto"/>
              </w:rPr>
              <w:t>建立合格供方名录，核定《供方评价表》后，编制《合格</w:t>
            </w:r>
            <w:r>
              <w:rPr>
                <w:rFonts w:hint="eastAsia"/>
                <w:color w:val="auto"/>
                <w:lang w:val="en-US" w:eastAsia="zh-CN"/>
              </w:rPr>
              <w:t>供应商名录</w:t>
            </w:r>
            <w:r>
              <w:rPr>
                <w:rFonts w:hint="eastAsia"/>
                <w:color w:val="auto"/>
              </w:rPr>
              <w:t>》存档。采购人员应该具备相应能力。采购人员应从《合格供方名录》中选择供方。</w:t>
            </w:r>
          </w:p>
          <w:p>
            <w:pPr>
              <w:spacing w:line="360" w:lineRule="auto"/>
              <w:rPr>
                <w:color w:val="auto"/>
              </w:rPr>
            </w:pPr>
            <w:r>
              <w:rPr>
                <w:rFonts w:hint="eastAsia"/>
                <w:color w:val="auto"/>
              </w:rPr>
              <w:t>提供《合格供方名单》: 主要供应商</w:t>
            </w:r>
            <w:r>
              <w:rPr>
                <w:rFonts w:hint="eastAsia"/>
                <w:color w:val="auto"/>
                <w:lang w:val="en-US" w:eastAsia="zh-CN"/>
              </w:rPr>
              <w:t>6</w:t>
            </w:r>
            <w:r>
              <w:rPr>
                <w:rFonts w:hint="eastAsia"/>
                <w:color w:val="auto"/>
              </w:rPr>
              <w:t>家，如下：</w:t>
            </w:r>
          </w:p>
          <w:p>
            <w:pPr>
              <w:spacing w:line="360" w:lineRule="auto"/>
              <w:rPr>
                <w:rFonts w:hint="eastAsia"/>
                <w:color w:val="auto"/>
                <w:lang w:val="en-US" w:eastAsia="zh-CN"/>
              </w:rPr>
            </w:pPr>
            <w:r>
              <w:drawing>
                <wp:inline distT="0" distB="0" distL="114300" distR="114300">
                  <wp:extent cx="6059170" cy="3234055"/>
                  <wp:effectExtent l="0" t="0" r="11430" b="4445"/>
                  <wp:docPr id="30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9170" cy="323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rPr>
                <w:rFonts w:hint="eastAsia" w:eastAsia="宋体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</w:rPr>
              <w:t>抽以上供方调查评价记录单：对供方资质、体系认证情况、生产能力和供应能力情况、历史及社会信誉情况、质量及以往使用情况等</w:t>
            </w:r>
            <w:r>
              <w:rPr>
                <w:rFonts w:hint="eastAsia"/>
                <w:color w:val="auto"/>
                <w:lang w:val="en-US" w:eastAsia="zh-CN"/>
              </w:rPr>
              <w:t>.</w:t>
            </w:r>
          </w:p>
          <w:p>
            <w:pPr>
              <w:spacing w:line="360" w:lineRule="auto"/>
              <w:rPr>
                <w:rFonts w:hint="default" w:ascii="宋体" w:hAnsi="宋体" w:eastAsia="宋体" w:cs="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Cs w:val="21"/>
              </w:rPr>
              <w:t>--《供方评价表》</w:t>
            </w:r>
            <w:r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  <w:t>重点抽查了纸，均为环保材料。</w:t>
            </w:r>
          </w:p>
          <w:p>
            <w:pPr>
              <w:spacing w:line="360" w:lineRule="auto"/>
              <w:rPr>
                <w:rFonts w:ascii="宋体" w:hAnsi="宋体" w:cs="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color w:val="auto"/>
                <w:szCs w:val="21"/>
                <w:lang w:eastAsia="zh-CN"/>
              </w:rPr>
              <w:t>202</w:t>
            </w:r>
            <w:r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cs="宋体"/>
                <w:color w:val="auto"/>
                <w:szCs w:val="21"/>
              </w:rPr>
              <w:t>年</w:t>
            </w:r>
            <w:r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  <w:t>8</w:t>
            </w:r>
            <w:r>
              <w:rPr>
                <w:rFonts w:hint="eastAsia" w:ascii="宋体" w:hAnsi="宋体" w:cs="宋体"/>
                <w:color w:val="auto"/>
                <w:szCs w:val="21"/>
              </w:rPr>
              <w:t>月供方评价确认：</w:t>
            </w:r>
          </w:p>
          <w:p>
            <w:pPr>
              <w:spacing w:line="360" w:lineRule="auto"/>
              <w:rPr>
                <w:color w:val="auto"/>
              </w:rPr>
            </w:pPr>
            <w:r>
              <w:rPr>
                <w:rFonts w:hint="eastAsia"/>
                <w:color w:val="auto"/>
                <w:lang w:val="en-US" w:eastAsia="zh-CN"/>
              </w:rPr>
              <w:t>1</w:t>
            </w:r>
            <w:r>
              <w:rPr>
                <w:rFonts w:hint="default" w:ascii="宋体" w:hAnsi="宋体" w:eastAsia="宋体" w:cs="宋体"/>
                <w:color w:val="auto"/>
                <w:szCs w:val="21"/>
                <w:lang w:val="en-US" w:eastAsia="zh-CN"/>
              </w:rPr>
              <w:t>甘肃教材出版中心</w:t>
            </w:r>
            <w:r>
              <w:rPr>
                <w:rFonts w:hint="eastAsia" w:ascii="宋体" w:hAnsi="宋体" w:eastAsia="宋体" w:cs="宋体"/>
                <w:color w:val="auto"/>
                <w:szCs w:val="21"/>
              </w:rPr>
              <w:t>（</w:t>
            </w:r>
            <w:r>
              <w:rPr>
                <w:rFonts w:hint="eastAsia" w:ascii="宋体" w:hAnsi="宋体" w:eastAsia="宋体" w:cs="宋体"/>
                <w:color w:val="auto"/>
                <w:szCs w:val="21"/>
                <w:lang w:val="en-US" w:eastAsia="zh-CN"/>
              </w:rPr>
              <w:t>纸</w:t>
            </w:r>
            <w:r>
              <w:rPr>
                <w:rFonts w:hint="eastAsia" w:ascii="宋体" w:hAnsi="宋体" w:eastAsia="宋体" w:cs="宋体"/>
                <w:color w:val="auto"/>
                <w:szCs w:val="21"/>
              </w:rPr>
              <w:t>）；</w:t>
            </w:r>
          </w:p>
          <w:p>
            <w:pPr>
              <w:spacing w:line="360" w:lineRule="auto"/>
              <w:rPr>
                <w:rFonts w:hint="eastAsia" w:ascii="宋体" w:hAnsi="宋体" w:cs="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Cs w:val="21"/>
              </w:rPr>
              <w:t>公司组织各部门对该供方的资质、产品质量、价格、送货及时度、服务、交期等进行了评价，有各部门评价人签字。调查评价：合格，同意列入合格供应商  评价人：</w:t>
            </w:r>
            <w:r>
              <w:rPr>
                <w:rFonts w:hint="eastAsia" w:ascii="宋体" w:hAnsi="宋体" w:cs="宋体"/>
                <w:color w:val="auto"/>
                <w:szCs w:val="21"/>
                <w:lang w:eastAsia="zh-CN"/>
              </w:rPr>
              <w:t>安华翠</w:t>
            </w:r>
            <w:r>
              <w:rPr>
                <w:rFonts w:hint="eastAsia" w:ascii="宋体" w:hAnsi="宋体" w:cs="宋体"/>
                <w:color w:val="auto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color w:val="auto"/>
                <w:szCs w:val="21"/>
                <w:lang w:eastAsia="zh-CN"/>
              </w:rPr>
              <w:t>202</w:t>
            </w:r>
            <w:r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cs="宋体"/>
                <w:color w:val="auto"/>
                <w:szCs w:val="21"/>
              </w:rPr>
              <w:t>年</w:t>
            </w:r>
            <w:r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  <w:t>8</w:t>
            </w:r>
            <w:r>
              <w:rPr>
                <w:rFonts w:hint="eastAsia" w:ascii="宋体" w:hAnsi="宋体" w:cs="宋体"/>
                <w:color w:val="auto"/>
                <w:szCs w:val="21"/>
              </w:rPr>
              <w:t>月</w:t>
            </w:r>
            <w:r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cs="宋体"/>
                <w:color w:val="auto"/>
                <w:szCs w:val="21"/>
              </w:rPr>
              <w:t>日</w:t>
            </w:r>
          </w:p>
          <w:p>
            <w:pPr>
              <w:spacing w:line="360" w:lineRule="auto"/>
              <w:ind w:firstLine="420" w:firstLineChars="200"/>
              <w:rPr>
                <w:rFonts w:ascii="宋体" w:hAnsi="宋体" w:cs="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Cs w:val="21"/>
              </w:rPr>
              <w:t>查，公司对</w:t>
            </w:r>
            <w:r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  <w:t>各</w:t>
            </w:r>
            <w:r>
              <w:rPr>
                <w:rFonts w:hint="eastAsia" w:ascii="宋体" w:hAnsi="宋体" w:cs="宋体"/>
                <w:color w:val="auto"/>
                <w:szCs w:val="21"/>
              </w:rPr>
              <w:t>供应商采用的管理方法为：第一次对供方进行全面评价，包括：供方资质、产品质量、交货情况、售后服务能力等。对于已经正常供货的供方管理，对每批产品进行检验，通过定期反馈供方产品质量，及对质量问题要求供方进行纠正解决等来进行供方质量控制。查供方控制情况：</w:t>
            </w:r>
          </w:p>
          <w:p>
            <w:pPr>
              <w:spacing w:line="360" w:lineRule="auto"/>
              <w:rPr>
                <w:rFonts w:hint="eastAsia" w:eastAsia="宋体"/>
                <w:color w:val="auto"/>
                <w:lang w:eastAsia="zh-CN"/>
              </w:rPr>
            </w:pPr>
            <w:r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  <w:t>2</w:t>
            </w:r>
            <w:r>
              <w:rPr>
                <w:rFonts w:hint="eastAsia" w:ascii="宋体" w:hAnsi="宋体" w:cs="宋体"/>
                <w:color w:val="auto"/>
                <w:szCs w:val="21"/>
              </w:rPr>
              <w:t>提</w:t>
            </w:r>
            <w:r>
              <w:rPr>
                <w:rFonts w:hint="eastAsia" w:ascii="宋体" w:hAnsi="宋体" w:eastAsia="宋体" w:cs="宋体"/>
                <w:color w:val="auto"/>
                <w:szCs w:val="21"/>
              </w:rPr>
              <w:t>供</w:t>
            </w:r>
            <w:r>
              <w:rPr>
                <w:rFonts w:hint="default" w:ascii="宋体" w:hAnsi="宋体" w:eastAsia="宋体" w:cs="宋体"/>
                <w:color w:val="auto"/>
                <w:szCs w:val="21"/>
                <w:lang w:val="en-US" w:eastAsia="zh-CN"/>
              </w:rPr>
              <w:t>广东新纪元复合材料股份有限公司</w:t>
            </w:r>
            <w:r>
              <w:rPr>
                <w:rFonts w:hint="eastAsia" w:ascii="宋体" w:hAnsi="宋体" w:eastAsia="宋体" w:cs="宋体"/>
                <w:color w:val="auto"/>
                <w:szCs w:val="21"/>
              </w:rPr>
              <w:t>（供应：</w:t>
            </w:r>
            <w:r>
              <w:rPr>
                <w:rFonts w:hint="eastAsia" w:ascii="宋体" w:hAnsi="宋体" w:eastAsia="宋体" w:cs="宋体"/>
                <w:color w:val="auto"/>
                <w:szCs w:val="21"/>
                <w:lang w:val="en-US" w:eastAsia="zh-CN"/>
              </w:rPr>
              <w:t>BOPP预涂膜</w:t>
            </w:r>
            <w:r>
              <w:rPr>
                <w:rFonts w:hint="eastAsia" w:ascii="宋体" w:hAnsi="宋体" w:eastAsia="宋体" w:cs="宋体"/>
                <w:color w:val="auto"/>
                <w:szCs w:val="21"/>
              </w:rPr>
              <w:t>）评价报告，包</w:t>
            </w:r>
            <w:r>
              <w:rPr>
                <w:rFonts w:hint="eastAsia" w:ascii="宋体" w:hAnsi="宋体" w:cs="宋体"/>
                <w:color w:val="auto"/>
                <w:szCs w:val="21"/>
              </w:rPr>
              <w:t>括：供方的资质、产品质量、价格、送货及时度、服务等。时间：</w:t>
            </w:r>
            <w:r>
              <w:rPr>
                <w:rFonts w:hint="eastAsia" w:ascii="宋体" w:hAnsi="宋体" w:cs="宋体"/>
                <w:color w:val="auto"/>
                <w:szCs w:val="21"/>
                <w:lang w:eastAsia="zh-CN"/>
              </w:rPr>
              <w:t>202</w:t>
            </w:r>
            <w:r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cs="宋体"/>
                <w:color w:val="auto"/>
                <w:szCs w:val="21"/>
              </w:rPr>
              <w:t>年</w:t>
            </w:r>
            <w:r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  <w:t>8</w:t>
            </w:r>
            <w:r>
              <w:rPr>
                <w:rFonts w:hint="eastAsia" w:ascii="宋体" w:hAnsi="宋体" w:cs="宋体"/>
                <w:color w:val="auto"/>
                <w:szCs w:val="21"/>
              </w:rPr>
              <w:t>月</w:t>
            </w:r>
            <w:r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cs="宋体"/>
                <w:color w:val="auto"/>
                <w:szCs w:val="21"/>
              </w:rPr>
              <w:t>日</w:t>
            </w:r>
          </w:p>
          <w:p>
            <w:pPr>
              <w:spacing w:line="360" w:lineRule="auto"/>
              <w:rPr>
                <w:rFonts w:hint="eastAsia" w:ascii="宋体" w:hAnsi="宋体" w:cs="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Cs w:val="21"/>
              </w:rPr>
              <w:t>查，供方产品质量统计反馈情况：公司策划了采购产品的管理要求，质量反馈要求；</w:t>
            </w:r>
          </w:p>
          <w:p>
            <w:pPr>
              <w:pStyle w:val="2"/>
              <w:rPr>
                <w:rFonts w:hint="eastAsia" w:ascii="宋体" w:hAnsi="宋体" w:cs="宋体"/>
                <w:b/>
                <w:bCs w:val="0"/>
                <w:color w:val="auto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 w:val="0"/>
                <w:color w:val="auto"/>
                <w:szCs w:val="21"/>
                <w:lang w:val="en-US" w:eastAsia="zh-CN"/>
              </w:rPr>
              <w:t>市场部未能提供双胶纸的供应商兰州建平商贸有限公司的评价记录。</w:t>
            </w:r>
          </w:p>
          <w:p>
            <w:pPr>
              <w:pStyle w:val="2"/>
              <w:rPr>
                <w:rFonts w:hint="default" w:ascii="宋体" w:hAnsi="宋体" w:cs="宋体"/>
                <w:b/>
                <w:bCs w:val="0"/>
                <w:color w:val="auto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ascii="宋体" w:hAnsi="宋体" w:cs="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Cs w:val="21"/>
              </w:rPr>
              <w:t>查公司采购不合格情况</w:t>
            </w:r>
          </w:p>
          <w:p>
            <w:pPr>
              <w:spacing w:line="360" w:lineRule="auto"/>
              <w:rPr>
                <w:rFonts w:ascii="宋体" w:hAnsi="宋体" w:cs="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Cs w:val="21"/>
              </w:rPr>
              <w:t>负责人讲</w:t>
            </w:r>
            <w:r>
              <w:rPr>
                <w:rFonts w:hint="eastAsia" w:ascii="宋体" w:hAnsi="宋体" w:cs="宋体"/>
                <w:color w:val="auto"/>
                <w:szCs w:val="21"/>
                <w:lang w:eastAsia="zh-CN"/>
              </w:rPr>
              <w:t>202</w:t>
            </w:r>
            <w:r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cs="宋体"/>
                <w:color w:val="auto"/>
                <w:szCs w:val="21"/>
              </w:rPr>
              <w:t>年</w:t>
            </w:r>
            <w:r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  <w:t>8</w:t>
            </w:r>
            <w:r>
              <w:rPr>
                <w:rFonts w:hint="eastAsia" w:ascii="宋体" w:hAnsi="宋体" w:cs="宋体"/>
                <w:color w:val="auto"/>
                <w:szCs w:val="21"/>
              </w:rPr>
              <w:t>月以来，未出现采购产品有质量不符合的情况。</w:t>
            </w:r>
          </w:p>
          <w:p>
            <w:pPr>
              <w:spacing w:line="360" w:lineRule="auto"/>
              <w:ind w:firstLine="420" w:firstLineChars="200"/>
              <w:rPr>
                <w:rFonts w:ascii="宋体" w:hAnsi="宋体" w:cs="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Cs w:val="21"/>
              </w:rPr>
              <w:t>公司编制了《</w:t>
            </w:r>
            <w:r>
              <w:rPr>
                <w:rFonts w:hint="eastAsia"/>
                <w:color w:val="auto"/>
                <w:lang w:eastAsia="zh-CN"/>
              </w:rPr>
              <w:t>采购控制程序</w:t>
            </w:r>
            <w:r>
              <w:rPr>
                <w:rFonts w:hint="eastAsia" w:ascii="宋体" w:hAnsi="宋体" w:cs="宋体"/>
                <w:color w:val="auto"/>
                <w:szCs w:val="21"/>
              </w:rPr>
              <w:t>》，要求采购的材料必须进行检验。</w:t>
            </w:r>
          </w:p>
          <w:p>
            <w:pPr>
              <w:spacing w:line="360" w:lineRule="auto"/>
              <w:ind w:firstLine="420" w:firstLineChars="200"/>
              <w:rPr>
                <w:rFonts w:ascii="宋体" w:hAnsi="宋体" w:cs="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Cs w:val="21"/>
              </w:rPr>
              <w:t>公司对产品外观、型号规格、数量、尺寸、合格证等进行了验收。经询问公司采购产品主要根据需求，根据进货检验记录对相关产品的数量、规格型号等进行检验。抽查验证记录《进货检验记录表》，详见8.6条款</w:t>
            </w:r>
          </w:p>
          <w:p>
            <w:pPr>
              <w:spacing w:line="360" w:lineRule="auto"/>
              <w:ind w:firstLine="420" w:firstLineChars="200"/>
              <w:rPr>
                <w:rFonts w:ascii="宋体" w:hAnsi="宋体" w:cs="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Cs w:val="21"/>
              </w:rPr>
              <w:t>基本符合要求。现场查看其他采购物料均按要求进行验证入库。</w:t>
            </w:r>
          </w:p>
          <w:p>
            <w:pPr>
              <w:spacing w:line="360" w:lineRule="auto"/>
              <w:ind w:firstLine="420" w:firstLineChars="200"/>
              <w:rPr>
                <w:rFonts w:ascii="宋体" w:hAnsi="宋体" w:cs="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Cs w:val="21"/>
              </w:rPr>
              <w:t>负责人讲与供方沟通的内容包括：所提供的过程、产品和服务等；采购物资根据签订采购合同进产品的名称、规格、型号、数量等采购信息的确定。</w:t>
            </w:r>
          </w:p>
          <w:p>
            <w:pPr>
              <w:spacing w:line="360" w:lineRule="auto"/>
              <w:rPr>
                <w:rFonts w:hint="default" w:eastAsia="宋体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</w:rPr>
              <w:t>抽</w:t>
            </w:r>
            <w:r>
              <w:rPr>
                <w:rFonts w:hint="eastAsia"/>
                <w:color w:val="auto"/>
                <w:lang w:eastAsia="zh-CN"/>
              </w:rPr>
              <w:t>《</w:t>
            </w:r>
            <w:r>
              <w:rPr>
                <w:rFonts w:hint="eastAsia"/>
                <w:color w:val="auto"/>
                <w:lang w:val="en-US" w:eastAsia="zh-CN"/>
              </w:rPr>
              <w:t>产品供销合同</w:t>
            </w:r>
            <w:r>
              <w:rPr>
                <w:rFonts w:hint="eastAsia"/>
                <w:color w:val="auto"/>
                <w:lang w:eastAsia="zh-CN"/>
              </w:rPr>
              <w:t>》</w:t>
            </w:r>
            <w:r>
              <w:rPr>
                <w:rFonts w:hint="eastAsia"/>
                <w:color w:val="auto"/>
                <w:lang w:val="en-US" w:eastAsia="zh-CN"/>
              </w:rPr>
              <w:t>:供方：兰州天利政和电子科技有限公司</w:t>
            </w:r>
            <w:r>
              <w:rPr>
                <w:rFonts w:hint="eastAsia"/>
                <w:color w:val="auto"/>
                <w:lang w:eastAsia="zh-CN"/>
              </w:rPr>
              <w:t>，</w:t>
            </w:r>
            <w:r>
              <w:rPr>
                <w:rFonts w:hint="eastAsia"/>
                <w:color w:val="auto"/>
                <w:lang w:val="en-US" w:eastAsia="zh-CN"/>
              </w:rPr>
              <w:t>产品为：系列复印纸,日期：2021年5月8日</w:t>
            </w:r>
          </w:p>
          <w:p>
            <w:pPr>
              <w:spacing w:line="360" w:lineRule="auto"/>
              <w:rPr>
                <w:rFonts w:hint="eastAsia"/>
                <w:color w:val="auto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zCs w:val="21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1739900</wp:posOffset>
                  </wp:positionH>
                  <wp:positionV relativeFrom="paragraph">
                    <wp:posOffset>27940</wp:posOffset>
                  </wp:positionV>
                  <wp:extent cx="2272665" cy="3259455"/>
                  <wp:effectExtent l="0" t="0" r="635" b="4445"/>
                  <wp:wrapNone/>
                  <wp:docPr id="25" name="图片 25" descr="fc6a0779a889c7ac3e94d1f2d5b9c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fc6a0779a889c7ac3e94d1f2d5b9c7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665" cy="325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60" w:lineRule="auto"/>
              <w:rPr>
                <w:rFonts w:hint="eastAsia"/>
                <w:color w:val="auto"/>
                <w:szCs w:val="21"/>
                <w:lang w:val="en-US" w:eastAsia="zh-CN"/>
              </w:rPr>
            </w:pPr>
          </w:p>
          <w:p>
            <w:pPr>
              <w:pStyle w:val="2"/>
              <w:spacing w:line="360" w:lineRule="auto"/>
              <w:rPr>
                <w:rFonts w:hint="eastAsia"/>
                <w:color w:val="auto"/>
                <w:szCs w:val="21"/>
                <w:lang w:val="en-US" w:eastAsia="zh-CN"/>
              </w:rPr>
            </w:pPr>
          </w:p>
          <w:p>
            <w:pPr>
              <w:pStyle w:val="2"/>
              <w:spacing w:line="360" w:lineRule="auto"/>
              <w:rPr>
                <w:rFonts w:hint="eastAsia"/>
                <w:color w:val="auto"/>
                <w:szCs w:val="21"/>
                <w:lang w:val="en-US" w:eastAsia="zh-CN"/>
              </w:rPr>
            </w:pPr>
          </w:p>
          <w:p>
            <w:pPr>
              <w:pStyle w:val="2"/>
              <w:spacing w:line="360" w:lineRule="auto"/>
              <w:rPr>
                <w:rFonts w:hint="eastAsia"/>
                <w:color w:val="auto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/>
                <w:color w:val="auto"/>
                <w:szCs w:val="21"/>
                <w:lang w:val="en-US" w:eastAsia="zh-CN"/>
              </w:rPr>
            </w:pPr>
          </w:p>
          <w:p>
            <w:pPr>
              <w:pStyle w:val="3"/>
              <w:spacing w:line="360" w:lineRule="auto"/>
              <w:rPr>
                <w:rFonts w:hint="eastAsia"/>
                <w:color w:val="auto"/>
                <w:szCs w:val="21"/>
                <w:lang w:val="en-US" w:eastAsia="zh-CN"/>
              </w:rPr>
            </w:pPr>
          </w:p>
          <w:p>
            <w:pPr>
              <w:pStyle w:val="4"/>
              <w:spacing w:line="360" w:lineRule="auto"/>
              <w:rPr>
                <w:rFonts w:hint="eastAsia"/>
                <w:color w:val="auto"/>
                <w:szCs w:val="21"/>
                <w:lang w:val="en-US" w:eastAsia="zh-CN"/>
              </w:rPr>
            </w:pPr>
          </w:p>
          <w:p>
            <w:pPr>
              <w:pStyle w:val="4"/>
              <w:spacing w:line="360" w:lineRule="auto"/>
              <w:rPr>
                <w:rFonts w:hint="eastAsia"/>
                <w:color w:val="auto"/>
                <w:szCs w:val="21"/>
                <w:lang w:val="en-US" w:eastAsia="zh-CN"/>
              </w:rPr>
            </w:pPr>
          </w:p>
          <w:p>
            <w:pPr>
              <w:pStyle w:val="4"/>
              <w:spacing w:line="360" w:lineRule="auto"/>
              <w:rPr>
                <w:rFonts w:hint="eastAsia"/>
                <w:color w:val="auto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/>
                <w:color w:val="auto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/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  <w:lang w:val="en-US" w:eastAsia="zh-CN"/>
              </w:rPr>
              <w:t>再查《买卖合同》,供应单位：</w:t>
            </w:r>
            <w:r>
              <w:rPr>
                <w:rFonts w:hint="eastAsia"/>
                <w:color w:val="auto"/>
                <w:lang w:val="en-US" w:eastAsia="zh-CN"/>
              </w:rPr>
              <w:t>读者文化传播有限责任公司</w:t>
            </w:r>
            <w:r>
              <w:rPr>
                <w:rFonts w:hint="eastAsia"/>
                <w:color w:val="auto"/>
                <w:lang w:eastAsia="zh-CN"/>
              </w:rPr>
              <w:t>，</w:t>
            </w:r>
            <w:r>
              <w:rPr>
                <w:rFonts w:hint="eastAsia"/>
                <w:color w:val="auto"/>
                <w:lang w:val="en-US" w:eastAsia="zh-CN"/>
              </w:rPr>
              <w:t>日期：2021.3.1，</w:t>
            </w:r>
            <w:r>
              <w:rPr>
                <w:rFonts w:hint="eastAsia" w:cs="Times New Roman"/>
                <w:color w:val="auto"/>
                <w:szCs w:val="22"/>
                <w:lang w:val="en-US" w:eastAsia="zh-CN"/>
              </w:rPr>
              <w:t>铜版纸</w:t>
            </w:r>
            <w:r>
              <w:rPr>
                <w:rFonts w:hint="eastAsia" w:ascii="Times New Roman" w:hAnsi="Times New Roman" w:eastAsia="宋体" w:cs="Times New Roman"/>
                <w:color w:val="auto"/>
                <w:szCs w:val="22"/>
                <w:lang w:val="en-US" w:eastAsia="zh-CN"/>
              </w:rPr>
              <w:t>。</w:t>
            </w:r>
          </w:p>
          <w:p>
            <w:pPr>
              <w:spacing w:line="360" w:lineRule="auto"/>
              <w:rPr>
                <w:rFonts w:hint="default" w:eastAsia="宋体"/>
                <w:color w:val="auto"/>
                <w:lang w:val="en-US" w:eastAsia="zh-CN"/>
              </w:rPr>
            </w:pPr>
            <w:r>
              <w:rPr>
                <w:rFonts w:hint="eastAsia" w:eastAsia="宋体"/>
                <w:color w:val="auto"/>
                <w:lang w:eastAsia="zh-CN"/>
              </w:rPr>
              <w:drawing>
                <wp:inline distT="0" distB="0" distL="114300" distR="114300">
                  <wp:extent cx="2160905" cy="3161665"/>
                  <wp:effectExtent l="0" t="0" r="10795" b="635"/>
                  <wp:docPr id="26" name="图片 26" descr="13d4cee6a52e2013ec5a89b105280b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13d4cee6a52e2013ec5a89b105280b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905" cy="316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auto"/>
                <w:lang w:val="en-US" w:eastAsia="zh-CN"/>
              </w:rPr>
              <w:t xml:space="preserve">   </w:t>
            </w:r>
            <w:r>
              <w:rPr>
                <w:rFonts w:hint="default" w:eastAsia="宋体"/>
                <w:color w:val="auto"/>
                <w:lang w:val="en-US" w:eastAsia="zh-CN"/>
              </w:rPr>
              <w:drawing>
                <wp:inline distT="0" distB="0" distL="114300" distR="114300">
                  <wp:extent cx="2218055" cy="3139440"/>
                  <wp:effectExtent l="0" t="0" r="4445" b="10160"/>
                  <wp:docPr id="27" name="图片 27" descr="7a810277666913dd88cec7942c30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7a810277666913dd88cec7942c3079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055" cy="313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</w:rPr>
              <w:t>另抽其采购</w:t>
            </w:r>
            <w:r>
              <w:rPr>
                <w:rFonts w:hint="eastAsia"/>
                <w:color w:val="auto"/>
                <w:lang w:val="en-US" w:eastAsia="zh-CN"/>
              </w:rPr>
              <w:t>合同</w:t>
            </w:r>
            <w:r>
              <w:rPr>
                <w:rFonts w:hint="eastAsia"/>
                <w:color w:val="auto"/>
              </w:rPr>
              <w:t>，均保存完好，符合要求。</w:t>
            </w:r>
          </w:p>
          <w:p>
            <w:pPr>
              <w:spacing w:line="360" w:lineRule="auto"/>
              <w:rPr>
                <w:rFonts w:hint="eastAsia" w:eastAsia="宋体"/>
                <w:color w:val="auto"/>
                <w:lang w:eastAsia="zh-CN"/>
              </w:rPr>
            </w:pPr>
            <w:r>
              <w:rPr>
                <w:rFonts w:hint="eastAsia"/>
                <w:color w:val="auto"/>
              </w:rPr>
              <w:t>编制：</w:t>
            </w:r>
            <w:r>
              <w:rPr>
                <w:rFonts w:hint="eastAsia" w:ascii="宋体"/>
                <w:color w:val="auto"/>
                <w:lang w:eastAsia="zh-CN"/>
              </w:rPr>
              <w:t>市场部：</w:t>
            </w:r>
            <w:r>
              <w:rPr>
                <w:rFonts w:hint="eastAsia"/>
                <w:color w:val="auto"/>
                <w:lang w:eastAsia="zh-CN"/>
              </w:rPr>
              <w:t>安华翠</w:t>
            </w:r>
          </w:p>
          <w:p>
            <w:pPr>
              <w:spacing w:line="360" w:lineRule="auto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color w:val="auto"/>
              </w:rPr>
              <w:t>原材料检验见</w:t>
            </w:r>
            <w:r>
              <w:rPr>
                <w:color w:val="auto"/>
              </w:rPr>
              <w:t>8.6</w:t>
            </w:r>
            <w:r>
              <w:rPr>
                <w:rFonts w:hint="eastAsia"/>
                <w:color w:val="auto"/>
              </w:rPr>
              <w:t>条款</w:t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  <w:p>
            <w:pPr>
              <w:pStyle w:val="2"/>
              <w:rPr>
                <w:rFonts w:hint="default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2160" w:type="dxa"/>
          </w:tcPr>
          <w:p>
            <w:pPr>
              <w:spacing w:line="360" w:lineRule="auto"/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顾客及外部供方财产</w:t>
            </w:r>
          </w:p>
        </w:tc>
        <w:tc>
          <w:tcPr>
            <w:tcW w:w="960" w:type="dxa"/>
          </w:tcPr>
          <w:p>
            <w:pPr>
              <w:spacing w:line="360" w:lineRule="auto"/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Q</w:t>
            </w:r>
            <w:r>
              <w:rPr>
                <w:rFonts w:ascii="宋体" w:hAnsi="宋体" w:cs="Arial"/>
                <w:szCs w:val="21"/>
              </w:rPr>
              <w:t>8.5.3</w:t>
            </w:r>
          </w:p>
        </w:tc>
        <w:tc>
          <w:tcPr>
            <w:tcW w:w="10004" w:type="dxa"/>
            <w:vAlign w:val="center"/>
          </w:tcPr>
          <w:p>
            <w:pPr>
              <w:spacing w:line="360" w:lineRule="auto"/>
              <w:ind w:firstLine="420" w:firstLineChars="200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公司提出版物专项排版、制版、装订；出版物、包装装潢印刷品、其他印刷品数字印刷的印刷，</w:t>
            </w:r>
            <w:r>
              <w:rPr>
                <w:rFonts w:hint="eastAsia"/>
                <w:lang w:val="en-US" w:eastAsia="zh-CN"/>
              </w:rPr>
              <w:t>主要的顾客财产为顾客信息、顾客提供的样品、印刷品的原始文档等，均登记在顾客财产登记表中，并对顾客财产进行保密、保存</w:t>
            </w:r>
            <w:r>
              <w:rPr>
                <w:rFonts w:hint="eastAsia"/>
                <w:lang w:eastAsia="zh-CN"/>
              </w:rPr>
              <w:t>。</w:t>
            </w:r>
          </w:p>
          <w:p>
            <w:pPr>
              <w:spacing w:line="360" w:lineRule="auto"/>
              <w:ind w:firstLine="420" w:firstLineChars="200"/>
              <w:rPr>
                <w:rFonts w:hint="eastAsia"/>
                <w:lang w:eastAsia="zh-CN"/>
              </w:rPr>
            </w:pPr>
            <w:r>
              <w:rPr>
                <w:rFonts w:hint="eastAsia" w:ascii="宋体" w:hAnsi="宋体" w:cs="宋体"/>
                <w:szCs w:val="24"/>
              </w:rPr>
              <w:t>如有丢失、损坏或不适用的情况发生，应由使用部门及时记录在《顾客及外部供方财产表》中，与顾客协商解决。自体系运行以来尚无顾客财产问题记录。</w:t>
            </w:r>
          </w:p>
        </w:tc>
        <w:tc>
          <w:tcPr>
            <w:tcW w:w="1585" w:type="dxa"/>
          </w:tcPr>
          <w:p>
            <w:pPr>
              <w:pStyle w:val="4"/>
              <w:ind w:left="0" w:leftChars="0" w:firstLine="0" w:firstLineChars="0"/>
              <w:rPr>
                <w:rFonts w:hint="eastAsia" w:eastAsia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2160" w:type="dxa"/>
          </w:tcPr>
          <w:p>
            <w:pPr>
              <w:spacing w:line="360" w:lineRule="auto"/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交付后的活动</w:t>
            </w:r>
          </w:p>
        </w:tc>
        <w:tc>
          <w:tcPr>
            <w:tcW w:w="960" w:type="dxa"/>
          </w:tcPr>
          <w:p>
            <w:pPr>
              <w:spacing w:line="360" w:lineRule="auto"/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Q</w:t>
            </w:r>
            <w:r>
              <w:rPr>
                <w:rFonts w:ascii="宋体" w:hAnsi="宋体" w:cs="Arial"/>
                <w:szCs w:val="21"/>
              </w:rPr>
              <w:t>8.5.5</w:t>
            </w:r>
          </w:p>
        </w:tc>
        <w:tc>
          <w:tcPr>
            <w:tcW w:w="10004" w:type="dxa"/>
            <w:vAlign w:val="center"/>
          </w:tcPr>
          <w:p>
            <w:pPr>
              <w:spacing w:line="360" w:lineRule="auto"/>
              <w:ind w:firstLine="420" w:firstLineChars="200"/>
              <w:rPr>
                <w:rFonts w:hint="default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公司对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出版物专项排版、制版、装订；出版物、包装装潢印刷品、其他印刷品数字印刷的印刷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服务</w:t>
            </w:r>
            <w:r>
              <w:rPr>
                <w:rFonts w:hint="eastAsia" w:ascii="宋体" w:hAnsi="宋体" w:eastAsia="宋体" w:cs="宋体"/>
                <w:szCs w:val="21"/>
              </w:rPr>
              <w:t>的防护实施控制：</w:t>
            </w: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公司自体系运行以来，未发生由于防护不当导致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出版物专项排版、制版、装订；出版物、包装装潢印刷品、其他印刷品数字印刷的印刷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服务</w:t>
            </w:r>
            <w:r>
              <w:rPr>
                <w:rFonts w:hint="eastAsia" w:ascii="宋体" w:hAnsi="宋体" w:eastAsia="宋体" w:cs="宋体"/>
                <w:szCs w:val="21"/>
              </w:rPr>
              <w:t>质量事故的情况，防护措施能够满足要求。</w:t>
            </w:r>
          </w:p>
          <w:p>
            <w:pPr>
              <w:spacing w:line="360" w:lineRule="auto"/>
              <w:ind w:firstLine="420" w:firstLineChars="200"/>
              <w:rPr>
                <w:rFonts w:hint="default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防护的管理符合标准要求。</w:t>
            </w: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现场产品防护能够按照策划的要求实施，满足策划的要求。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出版物专项排版、制版、装订；出版物、包装装潢印刷品、其他印刷品数字印刷的印刷</w:t>
            </w:r>
            <w:r>
              <w:rPr>
                <w:rFonts w:hint="eastAsia" w:ascii="宋体" w:hAnsi="宋体" w:eastAsia="宋体" w:cs="宋体"/>
                <w:szCs w:val="21"/>
              </w:rPr>
              <w:t>完成后，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出版物专项排版、制版、装订；出版物、包装装潢印刷品、其他印刷品数字印刷的印刷</w:t>
            </w:r>
            <w:r>
              <w:rPr>
                <w:rFonts w:hint="eastAsia" w:ascii="宋体" w:hAnsi="宋体" w:eastAsia="宋体" w:cs="宋体"/>
                <w:szCs w:val="21"/>
              </w:rPr>
              <w:t>会继续做好客户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反馈</w:t>
            </w:r>
            <w:r>
              <w:rPr>
                <w:rFonts w:hint="eastAsia" w:ascii="宋体" w:hAnsi="宋体" w:eastAsia="宋体" w:cs="宋体"/>
                <w:szCs w:val="21"/>
              </w:rPr>
              <w:t>信息的处置，按照信息沟通程序等做好沟通。</w:t>
            </w: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截止目前没有发生交付后客户投诉的情况。</w:t>
            </w:r>
          </w:p>
          <w:p>
            <w:pPr>
              <w:spacing w:line="360" w:lineRule="auto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市场部</w:t>
            </w:r>
            <w:r>
              <w:rPr>
                <w:rFonts w:hint="eastAsia" w:ascii="宋体" w:hAnsi="宋体" w:cs="宋体"/>
                <w:szCs w:val="21"/>
              </w:rPr>
              <w:t>表示，对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销售服务</w:t>
            </w:r>
            <w:r>
              <w:rPr>
                <w:rFonts w:hint="eastAsia" w:ascii="宋体" w:hAnsi="宋体" w:cs="宋体"/>
                <w:szCs w:val="21"/>
              </w:rPr>
              <w:t>人员等会通过教育培训，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对服务人员</w:t>
            </w:r>
            <w:r>
              <w:rPr>
                <w:rFonts w:hint="eastAsia" w:ascii="宋体" w:hAnsi="宋体" w:cs="宋体"/>
                <w:szCs w:val="21"/>
              </w:rPr>
              <w:t>提供安全防护（防护手套、工作靴）等方式进行防护。</w:t>
            </w:r>
          </w:p>
          <w:p>
            <w:pPr>
              <w:spacing w:line="360" w:lineRule="auto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完成后，</w:t>
            </w:r>
            <w:r>
              <w:rPr>
                <w:rFonts w:hint="eastAsia" w:ascii="宋体" w:hAnsi="宋体" w:cs="宋体"/>
                <w:szCs w:val="21"/>
                <w:lang w:eastAsia="zh-CN"/>
              </w:rPr>
              <w:t>市场部</w:t>
            </w:r>
            <w:r>
              <w:rPr>
                <w:rFonts w:hint="eastAsia" w:ascii="宋体" w:hAnsi="宋体" w:cs="宋体"/>
                <w:szCs w:val="21"/>
              </w:rPr>
              <w:t>主要做好客户信息的处置，按照信息沟通程序等做好沟通。</w:t>
            </w:r>
          </w:p>
          <w:p>
            <w:pPr>
              <w:spacing w:line="360" w:lineRule="auto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截止目前没有发生交付后客户投诉的情况。</w:t>
            </w:r>
          </w:p>
        </w:tc>
        <w:tc>
          <w:tcPr>
            <w:tcW w:w="1585" w:type="dxa"/>
          </w:tcPr>
          <w:p>
            <w:pPr>
              <w:spacing w:line="360" w:lineRule="auto"/>
            </w:pPr>
            <w: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2160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</w:rPr>
              <w:t>顾客满意度调查</w:t>
            </w:r>
          </w:p>
        </w:tc>
        <w:tc>
          <w:tcPr>
            <w:tcW w:w="960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t>9.1.2</w:t>
            </w:r>
          </w:p>
        </w:tc>
        <w:tc>
          <w:tcPr>
            <w:tcW w:w="10004" w:type="dxa"/>
            <w:vAlign w:val="top"/>
          </w:tcPr>
          <w:p>
            <w:pPr>
              <w:spacing w:line="360" w:lineRule="auto"/>
              <w:ind w:firstLine="420" w:firstLineChars="200"/>
              <w:jc w:val="left"/>
              <w:rPr>
                <w:rFonts w:hint="eastAsia"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</w:rPr>
              <w:t>企业对顾客对产品是否满意的信息进行监视，并编制《顾客满意度调查表》。公司于</w:t>
            </w:r>
            <w:r>
              <w:rPr>
                <w:rFonts w:hint="eastAsia"/>
                <w:lang w:eastAsia="zh-CN"/>
              </w:rPr>
              <w:t>202</w:t>
            </w:r>
            <w:r>
              <w:rPr>
                <w:rFonts w:hint="eastAsia"/>
                <w:lang w:val="en-US" w:eastAsia="zh-CN"/>
              </w:rPr>
              <w:t>1</w:t>
            </w:r>
            <w:r>
              <w:rPr>
                <w:rFonts w:hint="eastAsia"/>
              </w:rPr>
              <w:t>年1</w:t>
            </w:r>
            <w:r>
              <w:rPr>
                <w:rFonts w:hint="eastAsia"/>
                <w:lang w:val="en-US" w:eastAsia="zh-CN"/>
              </w:rPr>
              <w:t>0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  <w:lang w:val="en-US" w:eastAsia="zh-CN"/>
              </w:rPr>
              <w:t>12</w:t>
            </w:r>
            <w:r>
              <w:rPr>
                <w:rFonts w:hint="eastAsia"/>
              </w:rPr>
              <w:t>日对</w:t>
            </w:r>
            <w:r>
              <w:rPr>
                <w:rFonts w:hint="eastAsia"/>
                <w:lang w:val="en-US" w:eastAsia="zh-CN"/>
              </w:rPr>
              <w:t>甘肃中电投新能源公司、新时代信息公司、兰州兰益口腔专科诊所等5家</w:t>
            </w:r>
            <w:r>
              <w:rPr>
                <w:rFonts w:hint="eastAsia"/>
              </w:rPr>
              <w:t>客户进行了问卷调查，分别对产品质量、服务、交货期方面等内容进行调查，客户均对相关内容进行了反馈，从统计数据中可以看出，</w:t>
            </w:r>
            <w:r>
              <w:rPr>
                <w:rFonts w:hint="eastAsia" w:ascii="宋体" w:hAnsi="宋体"/>
                <w:szCs w:val="21"/>
              </w:rPr>
              <w:t>发放调查表共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5</w:t>
            </w:r>
            <w:r>
              <w:rPr>
                <w:rFonts w:hint="eastAsia" w:ascii="宋体" w:hAnsi="宋体"/>
                <w:szCs w:val="21"/>
              </w:rPr>
              <w:t>份，回收调查表共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5</w:t>
            </w:r>
            <w:r>
              <w:rPr>
                <w:rFonts w:hint="eastAsia" w:ascii="宋体" w:hAnsi="宋体"/>
                <w:szCs w:val="21"/>
              </w:rPr>
              <w:t>份</w:t>
            </w:r>
            <w:r>
              <w:rPr>
                <w:rFonts w:hint="eastAsia" w:ascii="仿宋_GB2312" w:eastAsia="仿宋_GB2312"/>
                <w:sz w:val="24"/>
              </w:rPr>
              <w:t>。</w:t>
            </w:r>
            <w:r>
              <w:rPr>
                <w:rFonts w:hint="eastAsia"/>
              </w:rPr>
              <w:t>顾客满意度达到</w:t>
            </w:r>
            <w:r>
              <w:rPr>
                <w:rFonts w:hint="eastAsia"/>
                <w:lang w:val="en-US" w:eastAsia="zh-CN"/>
              </w:rPr>
              <w:t>96</w:t>
            </w:r>
            <w:r>
              <w:t>%</w:t>
            </w:r>
            <w:r>
              <w:rPr>
                <w:rFonts w:hint="eastAsia"/>
              </w:rPr>
              <w:t>，超过了质量目标要求，目标完</w:t>
            </w:r>
            <w:r>
              <w:rPr>
                <w:rFonts w:hint="eastAsia" w:ascii="Times New Roman" w:hAnsi="Times New Roman" w:eastAsia="宋体" w:cs="Times New Roman"/>
              </w:rPr>
              <w:t>成。从整体来看，客户对于我司各方面综合评价是很满意的。</w:t>
            </w:r>
          </w:p>
        </w:tc>
        <w:tc>
          <w:tcPr>
            <w:tcW w:w="1585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lang w:val="en-US" w:eastAsia="zh-CN" w:bidi="ar-SA"/>
              </w:rPr>
              <w:t>Y</w:t>
            </w:r>
          </w:p>
        </w:tc>
      </w:tr>
    </w:tbl>
    <w:p>
      <w:pPr>
        <w:pStyle w:val="8"/>
        <w:rPr>
          <w:rFonts w:hint="eastAsia"/>
        </w:rPr>
      </w:pPr>
      <w:r>
        <w:rPr>
          <w:rFonts w:hint="eastAsia"/>
        </w:rPr>
        <w:t>说明：不符合标注N</w:t>
      </w:r>
    </w:p>
    <w:p>
      <w:pPr>
        <w:rPr>
          <w:rFonts w:hint="eastAsia"/>
        </w:rPr>
      </w:pPr>
      <w:bookmarkStart w:id="0" w:name="_GoBack"/>
      <w:bookmarkEnd w:id="0"/>
    </w:p>
    <w:sectPr>
      <w:headerReference r:id="rId3" w:type="default"/>
      <w:footerReference r:id="rId4" w:type="default"/>
      <w:pgSz w:w="16838" w:h="11906" w:orient="landscape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ngLiU">
    <w:altName w:val="PMingLiU-ExtB"/>
    <w:panose1 w:val="02020509000000000000"/>
    <w:charset w:val="88"/>
    <w:family w:val="modern"/>
    <w:pitch w:val="default"/>
    <w:sig w:usb0="00000000" w:usb1="00000000" w:usb2="00000010" w:usb3="00000000" w:csb0="00100000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900"/>
      <w:docPartObj>
        <w:docPartGallery w:val="autotext"/>
      </w:docPartObj>
    </w:sdtPr>
    <w:sdtContent>
      <w:sdt>
        <w:sdtPr>
          <w:id w:val="171357217"/>
          <w:docPartObj>
            <w:docPartGallery w:val="autotext"/>
          </w:docPartObj>
        </w:sdtPr>
        <w:sdtContent>
          <w:p>
            <w:pPr>
              <w:pStyle w:val="8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8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15"/>
        <w:rFonts w:hint="default"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-31750</wp:posOffset>
          </wp:positionV>
          <wp:extent cx="485775" cy="485775"/>
          <wp:effectExtent l="0" t="0" r="9525" b="9525"/>
          <wp:wrapTopAndBottom/>
          <wp:docPr id="2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7879080</wp:posOffset>
              </wp:positionH>
              <wp:positionV relativeFrom="paragraph">
                <wp:posOffset>159385</wp:posOffset>
              </wp:positionV>
              <wp:extent cx="1304290" cy="256540"/>
              <wp:effectExtent l="0" t="0" r="3810" b="10160"/>
              <wp:wrapNone/>
              <wp:docPr id="29" name="文本框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04290" cy="256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ISC-B-II-12(05版）</w:t>
                          </w:r>
                        </w:p>
                      </w:txbxContent>
                    </wps:txbx>
                    <wps:bodyPr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620.4pt;margin-top:12.55pt;height:20.2pt;width:102.7pt;z-index:251659264;mso-width-relative:page;mso-height-relative:page;" fillcolor="#FFFFFF" filled="t" stroked="f" coordsize="21600,21600" o:gfxdata="UEsDBAoAAAAAAIdO4kAAAAAAAAAAAAAAAAAEAAAAZHJzL1BLAwQUAAAACACHTuJAQkH4RNgAAAAL&#10;AQAADwAAAGRycy9kb3ducmV2LnhtbE2PzU7DMBCE70i8g7VIXBC1EyUphDiVQAJx7c8DbOJtEhGv&#10;o9ht2rfHPcFxNKOZb6rNxY7iTLMfHGtIVgoEcevMwJ2Gw/7z+QWED8gGR8ek4UoeNvX9XYWlcQtv&#10;6bwLnYgl7EvU0IcwlVL6tieLfuUm4ugd3WwxRDl30sy4xHI7ylSpQlocOC70ONFHT+3P7mQ1HL+X&#10;p/x1ab7CYb3Nincc1o27av34kKg3EIEu4S8MN/yIDnVkatyJjRdj1GmmInvQkOYJiFsiy4oURKOh&#10;yHOQdSX/f6h/AVBLAwQUAAAACACHTuJA2ivh8cMBAAB5AwAADgAAAGRycy9lMm9Eb2MueG1srVPB&#10;jtMwEL0j8Q+W7zTZsLtio6YrQVUuCJB2+QDXcRJLtsfyuE36A/AHnLhw57v6HYydbheWyx7IIbFn&#10;3jzPe+Msbydr2F4F1OAafrEoOVNOQqtd3/Av95tXbzjDKFwrDDjV8INCfrt6+WI5+lpVMIBpVWBE&#10;4rAefcOHGH1dFCgHZQUuwCtHyQ6CFZG2oS/aIEZit6aoyvK6GCG0PoBUiBRdz0l+YgzPIYSu01Kt&#10;Qe6scnFmDcqISJJw0B75KnfbdUrGT12HKjLTcFIa85sOofU2vYvVUtR9EH7Q8tSCeE4LTzRZoR0d&#10;eqZaiyjYLuh/qKyWARC6uJBgi1lIdoRUXJRPvLkbhFdZC1mN/mw6/j9a+XH/OTDdNry64cwJSxM/&#10;fv92/PHr+PMroxgZNHqsCXfnCRmntzDRtXmIIwWT7qkLNn1JEaM82Xs426umyGQqel1eVjeUkpSr&#10;rq6vLrP/xWO1DxjfK7AsLRoeaHzZVbH/gJE6IegDJB2GYHS70cbkTei370xge0Gj3uQnNUklf8GM&#10;S2AHqWxOp0iRNM5a0ipO2+kkfAvtgXTvfND9QD1l5RlOE8n0p9uTRv7nPpM+/jGr3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EJB+ETYAAAACwEAAA8AAAAAAAAAAQAgAAAAIgAAAGRycy9kb3ducmV2&#10;LnhtbFBLAQIUABQAAAAIAIdO4kDaK+HxwwEAAHkDAAAOAAAAAAAAAAEAIAAAACcBAABkcnMvZTJv&#10;RG9jLnhtbFBLBQYAAAAABgAGAFkBAABcBQAAAAA=&#10;">
              <v:fill on="t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ISC-B-II-12(05版）</w:t>
                    </w:r>
                  </w:p>
                </w:txbxContent>
              </v:textbox>
            </v:shape>
          </w:pict>
        </mc:Fallback>
      </mc:AlternateContent>
    </w:r>
    <w:r>
      <w:rPr>
        <w:rStyle w:val="15"/>
        <w:rFonts w:hint="default"/>
      </w:rPr>
      <w:t>北京国标联合认证有限公司</w:t>
    </w:r>
    <w:r>
      <w:rPr>
        <w:rStyle w:val="15"/>
        <w:rFonts w:hint="default"/>
      </w:rPr>
      <w:tab/>
    </w:r>
    <w:r>
      <w:rPr>
        <w:rStyle w:val="15"/>
        <w:rFonts w:hint="default"/>
      </w:rPr>
      <w:tab/>
    </w:r>
    <w:r>
      <w:rPr>
        <w:rStyle w:val="15"/>
        <w:rFonts w:hint="default"/>
      </w:rPr>
      <w:tab/>
    </w:r>
  </w:p>
  <w:p>
    <w:pPr>
      <w:pStyle w:val="9"/>
      <w:pBdr>
        <w:bottom w:val="none" w:color="auto" w:sz="0" w:space="0"/>
      </w:pBdr>
      <w:spacing w:line="320" w:lineRule="exact"/>
      <w:ind w:firstLine="756" w:firstLineChars="400"/>
      <w:jc w:val="left"/>
    </w:pPr>
    <w:r>
      <w:rPr>
        <w:rStyle w:val="15"/>
        <w:rFonts w:hint="default"/>
        <w:w w:val="90"/>
      </w:rPr>
      <w:t>Beijing International Standard united Certification Co.,Ltd.</w:t>
    </w:r>
  </w:p>
  <w:p>
    <w:pPr>
      <w:pStyle w:val="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B80"/>
    <w:rsid w:val="0001713F"/>
    <w:rsid w:val="000259AC"/>
    <w:rsid w:val="000B7900"/>
    <w:rsid w:val="000D6436"/>
    <w:rsid w:val="001032CB"/>
    <w:rsid w:val="001538EB"/>
    <w:rsid w:val="001541DA"/>
    <w:rsid w:val="001A2755"/>
    <w:rsid w:val="001E2BA0"/>
    <w:rsid w:val="002D1F1C"/>
    <w:rsid w:val="00376607"/>
    <w:rsid w:val="003852FD"/>
    <w:rsid w:val="00411CE7"/>
    <w:rsid w:val="0044635D"/>
    <w:rsid w:val="00477697"/>
    <w:rsid w:val="004B16A6"/>
    <w:rsid w:val="004E08A4"/>
    <w:rsid w:val="00500C21"/>
    <w:rsid w:val="005E51DA"/>
    <w:rsid w:val="005F58CE"/>
    <w:rsid w:val="006350F0"/>
    <w:rsid w:val="0066443D"/>
    <w:rsid w:val="0068005C"/>
    <w:rsid w:val="006C3B64"/>
    <w:rsid w:val="006E7A70"/>
    <w:rsid w:val="007420C5"/>
    <w:rsid w:val="007536EE"/>
    <w:rsid w:val="007B1A3B"/>
    <w:rsid w:val="007F5845"/>
    <w:rsid w:val="00802252"/>
    <w:rsid w:val="00834B09"/>
    <w:rsid w:val="00893291"/>
    <w:rsid w:val="008E0C8E"/>
    <w:rsid w:val="008E45B6"/>
    <w:rsid w:val="0094266C"/>
    <w:rsid w:val="00954EA8"/>
    <w:rsid w:val="009B7866"/>
    <w:rsid w:val="009C3AF7"/>
    <w:rsid w:val="00A07938"/>
    <w:rsid w:val="00A3276E"/>
    <w:rsid w:val="00AA2D83"/>
    <w:rsid w:val="00AB7281"/>
    <w:rsid w:val="00B01EF6"/>
    <w:rsid w:val="00B325A1"/>
    <w:rsid w:val="00BB5BDD"/>
    <w:rsid w:val="00BB6546"/>
    <w:rsid w:val="00BE0E37"/>
    <w:rsid w:val="00BF540D"/>
    <w:rsid w:val="00C23315"/>
    <w:rsid w:val="00C343F0"/>
    <w:rsid w:val="00CB6525"/>
    <w:rsid w:val="00D5752A"/>
    <w:rsid w:val="00DD4B80"/>
    <w:rsid w:val="00E113F1"/>
    <w:rsid w:val="00E238F5"/>
    <w:rsid w:val="00E345F7"/>
    <w:rsid w:val="00E412FC"/>
    <w:rsid w:val="00E5540F"/>
    <w:rsid w:val="00EF3EBB"/>
    <w:rsid w:val="00F13AB9"/>
    <w:rsid w:val="00F66D86"/>
    <w:rsid w:val="00F67463"/>
    <w:rsid w:val="00F922A5"/>
    <w:rsid w:val="00FB75CB"/>
    <w:rsid w:val="00FD12F5"/>
    <w:rsid w:val="00FD6519"/>
    <w:rsid w:val="01AE0794"/>
    <w:rsid w:val="01FC72C4"/>
    <w:rsid w:val="03026357"/>
    <w:rsid w:val="045B4895"/>
    <w:rsid w:val="04963E1F"/>
    <w:rsid w:val="04CC6B08"/>
    <w:rsid w:val="04E0227F"/>
    <w:rsid w:val="05137F6D"/>
    <w:rsid w:val="053022E6"/>
    <w:rsid w:val="055C30DB"/>
    <w:rsid w:val="05D11D1B"/>
    <w:rsid w:val="066A52E1"/>
    <w:rsid w:val="066D6797"/>
    <w:rsid w:val="07071325"/>
    <w:rsid w:val="07B42921"/>
    <w:rsid w:val="07F43C4A"/>
    <w:rsid w:val="08655D3C"/>
    <w:rsid w:val="09F05A95"/>
    <w:rsid w:val="0A4D7E01"/>
    <w:rsid w:val="0B2456A1"/>
    <w:rsid w:val="0B301291"/>
    <w:rsid w:val="0C903A31"/>
    <w:rsid w:val="0D892380"/>
    <w:rsid w:val="0EA7001F"/>
    <w:rsid w:val="0EE94ED6"/>
    <w:rsid w:val="100862E1"/>
    <w:rsid w:val="1021564D"/>
    <w:rsid w:val="10C02EF3"/>
    <w:rsid w:val="10FF34E9"/>
    <w:rsid w:val="11EE1116"/>
    <w:rsid w:val="11F1104F"/>
    <w:rsid w:val="12042B30"/>
    <w:rsid w:val="12F3123F"/>
    <w:rsid w:val="13705C0C"/>
    <w:rsid w:val="13AD15CE"/>
    <w:rsid w:val="140E64FD"/>
    <w:rsid w:val="141E15F7"/>
    <w:rsid w:val="14460C11"/>
    <w:rsid w:val="1549430F"/>
    <w:rsid w:val="169366B0"/>
    <w:rsid w:val="170C727C"/>
    <w:rsid w:val="1767603B"/>
    <w:rsid w:val="176F31FD"/>
    <w:rsid w:val="18170ED9"/>
    <w:rsid w:val="19B12C49"/>
    <w:rsid w:val="1BF2082C"/>
    <w:rsid w:val="1BF807B0"/>
    <w:rsid w:val="1C623B90"/>
    <w:rsid w:val="1D7C1F18"/>
    <w:rsid w:val="1DE657E0"/>
    <w:rsid w:val="1DF56417"/>
    <w:rsid w:val="1E0E0FB3"/>
    <w:rsid w:val="1E362801"/>
    <w:rsid w:val="1E876FC3"/>
    <w:rsid w:val="1EC1126F"/>
    <w:rsid w:val="1ED0396F"/>
    <w:rsid w:val="1ED61CF8"/>
    <w:rsid w:val="1F906D4E"/>
    <w:rsid w:val="20754975"/>
    <w:rsid w:val="212A4823"/>
    <w:rsid w:val="218B3026"/>
    <w:rsid w:val="21FF454E"/>
    <w:rsid w:val="22906815"/>
    <w:rsid w:val="229B7AE6"/>
    <w:rsid w:val="22C12DA6"/>
    <w:rsid w:val="237F0888"/>
    <w:rsid w:val="23853035"/>
    <w:rsid w:val="23897339"/>
    <w:rsid w:val="24FD57A9"/>
    <w:rsid w:val="2543337E"/>
    <w:rsid w:val="255A159D"/>
    <w:rsid w:val="264C6A8A"/>
    <w:rsid w:val="273B18FA"/>
    <w:rsid w:val="273C3CC9"/>
    <w:rsid w:val="27EC6D1F"/>
    <w:rsid w:val="28FB65E3"/>
    <w:rsid w:val="29136238"/>
    <w:rsid w:val="292B01C4"/>
    <w:rsid w:val="2B0E388C"/>
    <w:rsid w:val="2C153E60"/>
    <w:rsid w:val="2C503195"/>
    <w:rsid w:val="2C5123E1"/>
    <w:rsid w:val="2C5F0F16"/>
    <w:rsid w:val="2CA0042F"/>
    <w:rsid w:val="2CA51642"/>
    <w:rsid w:val="2CB371D5"/>
    <w:rsid w:val="2CCD1E74"/>
    <w:rsid w:val="2D04149E"/>
    <w:rsid w:val="2D766A69"/>
    <w:rsid w:val="2DC50188"/>
    <w:rsid w:val="2E567596"/>
    <w:rsid w:val="2EE84CA6"/>
    <w:rsid w:val="2F121C50"/>
    <w:rsid w:val="2F4A2235"/>
    <w:rsid w:val="2FDD746B"/>
    <w:rsid w:val="300E183B"/>
    <w:rsid w:val="30302A3D"/>
    <w:rsid w:val="30441C7B"/>
    <w:rsid w:val="30AE4AAF"/>
    <w:rsid w:val="30D20571"/>
    <w:rsid w:val="323E60E9"/>
    <w:rsid w:val="32584AA6"/>
    <w:rsid w:val="33524A35"/>
    <w:rsid w:val="339D2477"/>
    <w:rsid w:val="34750347"/>
    <w:rsid w:val="349E2575"/>
    <w:rsid w:val="34F73F3A"/>
    <w:rsid w:val="35A45811"/>
    <w:rsid w:val="35D211CE"/>
    <w:rsid w:val="36AD08CD"/>
    <w:rsid w:val="38145767"/>
    <w:rsid w:val="39060B0C"/>
    <w:rsid w:val="3913591C"/>
    <w:rsid w:val="3ACD53C1"/>
    <w:rsid w:val="3BF11200"/>
    <w:rsid w:val="3C697F1C"/>
    <w:rsid w:val="3C7805A2"/>
    <w:rsid w:val="3CA27813"/>
    <w:rsid w:val="3CC1149A"/>
    <w:rsid w:val="3CD46A82"/>
    <w:rsid w:val="3D610536"/>
    <w:rsid w:val="3D6953E6"/>
    <w:rsid w:val="3D795A27"/>
    <w:rsid w:val="3D804EB1"/>
    <w:rsid w:val="3D9D5A63"/>
    <w:rsid w:val="3DA55A26"/>
    <w:rsid w:val="3F4B0B90"/>
    <w:rsid w:val="40483048"/>
    <w:rsid w:val="42381CFC"/>
    <w:rsid w:val="427344A4"/>
    <w:rsid w:val="431D7913"/>
    <w:rsid w:val="43715D05"/>
    <w:rsid w:val="444632A3"/>
    <w:rsid w:val="44591CCB"/>
    <w:rsid w:val="447D4741"/>
    <w:rsid w:val="44BF23F6"/>
    <w:rsid w:val="451B396A"/>
    <w:rsid w:val="465E0428"/>
    <w:rsid w:val="4667343F"/>
    <w:rsid w:val="46C92161"/>
    <w:rsid w:val="46ED6330"/>
    <w:rsid w:val="470D6011"/>
    <w:rsid w:val="47C96301"/>
    <w:rsid w:val="48244471"/>
    <w:rsid w:val="486A51B2"/>
    <w:rsid w:val="488E19FE"/>
    <w:rsid w:val="48D6699E"/>
    <w:rsid w:val="4A094FB0"/>
    <w:rsid w:val="4AE3393F"/>
    <w:rsid w:val="4B12176B"/>
    <w:rsid w:val="4B7F0E9E"/>
    <w:rsid w:val="4BDD115C"/>
    <w:rsid w:val="4C573C91"/>
    <w:rsid w:val="4C5972F7"/>
    <w:rsid w:val="4C93451E"/>
    <w:rsid w:val="4CF520D9"/>
    <w:rsid w:val="4D510E91"/>
    <w:rsid w:val="4D69222C"/>
    <w:rsid w:val="4DA8648A"/>
    <w:rsid w:val="4DDA6DE0"/>
    <w:rsid w:val="4E0C62DC"/>
    <w:rsid w:val="4E294664"/>
    <w:rsid w:val="4E5A5E1D"/>
    <w:rsid w:val="4E686959"/>
    <w:rsid w:val="4EF00A95"/>
    <w:rsid w:val="4F165675"/>
    <w:rsid w:val="4F4023E0"/>
    <w:rsid w:val="501635E5"/>
    <w:rsid w:val="50416E46"/>
    <w:rsid w:val="50BF2BB3"/>
    <w:rsid w:val="51017E48"/>
    <w:rsid w:val="51136310"/>
    <w:rsid w:val="51D954E3"/>
    <w:rsid w:val="51F577C4"/>
    <w:rsid w:val="523D116B"/>
    <w:rsid w:val="52E47FA5"/>
    <w:rsid w:val="530C12BE"/>
    <w:rsid w:val="53310203"/>
    <w:rsid w:val="53386B39"/>
    <w:rsid w:val="535E26F2"/>
    <w:rsid w:val="53802744"/>
    <w:rsid w:val="54436E69"/>
    <w:rsid w:val="5462555D"/>
    <w:rsid w:val="547B6B84"/>
    <w:rsid w:val="548C7E1A"/>
    <w:rsid w:val="54DF1C14"/>
    <w:rsid w:val="54FD3718"/>
    <w:rsid w:val="55256612"/>
    <w:rsid w:val="554A000D"/>
    <w:rsid w:val="55713605"/>
    <w:rsid w:val="56484DFB"/>
    <w:rsid w:val="575C3918"/>
    <w:rsid w:val="578259EC"/>
    <w:rsid w:val="57E814AC"/>
    <w:rsid w:val="58A5671E"/>
    <w:rsid w:val="5BA13433"/>
    <w:rsid w:val="5BA26C0E"/>
    <w:rsid w:val="5DB6074F"/>
    <w:rsid w:val="5E6B4AD3"/>
    <w:rsid w:val="5EBD7446"/>
    <w:rsid w:val="5EC549C2"/>
    <w:rsid w:val="5F076D88"/>
    <w:rsid w:val="5F1B78D7"/>
    <w:rsid w:val="5F4E54B0"/>
    <w:rsid w:val="5F5A15AE"/>
    <w:rsid w:val="60B15773"/>
    <w:rsid w:val="613620FE"/>
    <w:rsid w:val="616D381B"/>
    <w:rsid w:val="61FC2599"/>
    <w:rsid w:val="6346226B"/>
    <w:rsid w:val="635C2035"/>
    <w:rsid w:val="63ED7E5E"/>
    <w:rsid w:val="64623A89"/>
    <w:rsid w:val="656B33D9"/>
    <w:rsid w:val="660109D5"/>
    <w:rsid w:val="66B61C2B"/>
    <w:rsid w:val="66D56A66"/>
    <w:rsid w:val="6723405E"/>
    <w:rsid w:val="67611ED5"/>
    <w:rsid w:val="67AA3536"/>
    <w:rsid w:val="68E718AC"/>
    <w:rsid w:val="692E03BF"/>
    <w:rsid w:val="69490210"/>
    <w:rsid w:val="69625FE3"/>
    <w:rsid w:val="69BA6068"/>
    <w:rsid w:val="6A4F35B8"/>
    <w:rsid w:val="6A6D4094"/>
    <w:rsid w:val="6AC242D8"/>
    <w:rsid w:val="6B5463F9"/>
    <w:rsid w:val="6B9D0130"/>
    <w:rsid w:val="6BC04E8F"/>
    <w:rsid w:val="6BD821D8"/>
    <w:rsid w:val="6BF40694"/>
    <w:rsid w:val="6C164AAF"/>
    <w:rsid w:val="6C1B3F99"/>
    <w:rsid w:val="6C3F2167"/>
    <w:rsid w:val="6C7E02FB"/>
    <w:rsid w:val="6CFE4F8F"/>
    <w:rsid w:val="6D2F770C"/>
    <w:rsid w:val="6D905BD7"/>
    <w:rsid w:val="6EA97E5C"/>
    <w:rsid w:val="6F3649DD"/>
    <w:rsid w:val="6F871F4B"/>
    <w:rsid w:val="6F89137C"/>
    <w:rsid w:val="6F90542C"/>
    <w:rsid w:val="7066288C"/>
    <w:rsid w:val="70FE56D5"/>
    <w:rsid w:val="721D52EB"/>
    <w:rsid w:val="725E4A51"/>
    <w:rsid w:val="72E21729"/>
    <w:rsid w:val="7338367F"/>
    <w:rsid w:val="73E1774C"/>
    <w:rsid w:val="73ED2F63"/>
    <w:rsid w:val="741A3CA7"/>
    <w:rsid w:val="75043CCE"/>
    <w:rsid w:val="75DC79B9"/>
    <w:rsid w:val="7612622B"/>
    <w:rsid w:val="76B4073B"/>
    <w:rsid w:val="76F87D79"/>
    <w:rsid w:val="7766387A"/>
    <w:rsid w:val="779722B2"/>
    <w:rsid w:val="780D7A7E"/>
    <w:rsid w:val="79C52DCD"/>
    <w:rsid w:val="79E1783B"/>
    <w:rsid w:val="79F83F77"/>
    <w:rsid w:val="7A0550B0"/>
    <w:rsid w:val="7A596AD9"/>
    <w:rsid w:val="7BAC27DE"/>
    <w:rsid w:val="7C25589F"/>
    <w:rsid w:val="7C655753"/>
    <w:rsid w:val="7C852ED7"/>
    <w:rsid w:val="7F5D7B54"/>
    <w:rsid w:val="7FC57B0A"/>
    <w:rsid w:val="7FED759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qFormat="1" w:unhideWhenUsed="0" w:uiPriority="0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3">
    <w:name w:val="heading 2"/>
    <w:basedOn w:val="1"/>
    <w:next w:val="4"/>
    <w:qFormat/>
    <w:uiPriority w:val="0"/>
    <w:pPr>
      <w:keepNext/>
      <w:adjustRightInd w:val="0"/>
      <w:snapToGrid w:val="0"/>
      <w:spacing w:line="400" w:lineRule="atLeast"/>
      <w:ind w:right="48"/>
      <w:jc w:val="center"/>
      <w:textAlignment w:val="baseline"/>
      <w:outlineLvl w:val="1"/>
    </w:pPr>
    <w:rPr>
      <w:rFonts w:ascii="MingLiU" w:eastAsia="MingLiU"/>
      <w:kern w:val="0"/>
      <w:sz w:val="28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99"/>
    <w:pPr>
      <w:spacing w:before="25" w:after="25"/>
    </w:pPr>
    <w:rPr>
      <w:bCs/>
      <w:spacing w:val="10"/>
    </w:rPr>
  </w:style>
  <w:style w:type="paragraph" w:styleId="4">
    <w:name w:val="Normal Indent"/>
    <w:basedOn w:val="1"/>
    <w:qFormat/>
    <w:uiPriority w:val="0"/>
    <w:pPr>
      <w:adjustRightInd w:val="0"/>
      <w:spacing w:line="360" w:lineRule="atLeast"/>
      <w:ind w:left="480"/>
      <w:textAlignment w:val="baseline"/>
    </w:pPr>
    <w:rPr>
      <w:kern w:val="0"/>
    </w:rPr>
  </w:style>
  <w:style w:type="paragraph" w:styleId="5">
    <w:name w:val="Body Text"/>
    <w:basedOn w:val="1"/>
    <w:unhideWhenUsed/>
    <w:qFormat/>
    <w:uiPriority w:val="99"/>
    <w:pPr>
      <w:spacing w:line="420" w:lineRule="exact"/>
    </w:pPr>
    <w:rPr>
      <w:sz w:val="24"/>
    </w:rPr>
  </w:style>
  <w:style w:type="paragraph" w:styleId="6">
    <w:name w:val="Body Text Indent"/>
    <w:basedOn w:val="1"/>
    <w:link w:val="18"/>
    <w:qFormat/>
    <w:uiPriority w:val="0"/>
    <w:pPr>
      <w:ind w:left="360"/>
    </w:pPr>
    <w:rPr>
      <w:rFonts w:ascii="宋体"/>
      <w:sz w:val="20"/>
    </w:rPr>
  </w:style>
  <w:style w:type="paragraph" w:styleId="7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2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2">
    <w:name w:val="页眉 字符"/>
    <w:basedOn w:val="11"/>
    <w:link w:val="9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3">
    <w:name w:val="页脚 字符"/>
    <w:basedOn w:val="11"/>
    <w:link w:val="8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4">
    <w:name w:val="批注框文本 字符"/>
    <w:basedOn w:val="11"/>
    <w:link w:val="7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5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customStyle="1" w:styleId="16">
    <w:name w:val="_Style 2"/>
    <w:basedOn w:val="1"/>
    <w:qFormat/>
    <w:uiPriority w:val="34"/>
    <w:pPr>
      <w:ind w:firstLine="420" w:firstLineChars="200"/>
    </w:pPr>
    <w:rPr>
      <w:rFonts w:ascii="Calibri" w:hAnsi="Calibri"/>
      <w:sz w:val="24"/>
      <w:szCs w:val="22"/>
    </w:rPr>
  </w:style>
  <w:style w:type="paragraph" w:customStyle="1" w:styleId="17">
    <w:name w:val="Char Char Char Char"/>
    <w:basedOn w:val="1"/>
    <w:qFormat/>
    <w:uiPriority w:val="0"/>
    <w:pPr>
      <w:widowControl/>
      <w:spacing w:after="160" w:line="240" w:lineRule="exact"/>
      <w:jc w:val="left"/>
    </w:pPr>
    <w:rPr>
      <w:rFonts w:ascii="Arial" w:hAnsi="Arial" w:eastAsia="Times New Roman" w:cs="Verdana"/>
      <w:b/>
      <w:kern w:val="0"/>
      <w:sz w:val="24"/>
      <w:lang w:eastAsia="en-US"/>
    </w:rPr>
  </w:style>
  <w:style w:type="character" w:customStyle="1" w:styleId="18">
    <w:name w:val="正文文本缩进 字符"/>
    <w:basedOn w:val="11"/>
    <w:link w:val="6"/>
    <w:qFormat/>
    <w:uiPriority w:val="0"/>
    <w:rPr>
      <w:rFonts w:ascii="宋体" w:hAnsi="Times New Roman" w:eastAsia="宋体" w:cs="Times New Roman"/>
      <w:kern w:val="2"/>
    </w:rPr>
  </w:style>
  <w:style w:type="paragraph" w:styleId="1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1042</Words>
  <Characters>5942</Characters>
  <Lines>49</Lines>
  <Paragraphs>13</Paragraphs>
  <TotalTime>1</TotalTime>
  <ScaleCrop>false</ScaleCrop>
  <LinksUpToDate>false</LinksUpToDate>
  <CharactersWithSpaces>6971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2020-09-21T02:05:00Z</dcterms:created>
  <dc:creator>微软用户</dc:creator>
  <cp:lastModifiedBy>强子</cp:lastModifiedBy>
  <dcterms:modified xsi:type="dcterms:W3CDTF">2022-03-03T12:31:41Z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B81734E132DB4BFB918FF61F03D0B939</vt:lpwstr>
  </property>
</Properties>
</file>