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5400" w:firstLineChars="15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139"/>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81"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139"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004" w:type="dxa"/>
            <w:vAlign w:val="center"/>
          </w:tcPr>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cs="宋体"/>
                <w:sz w:val="21"/>
                <w:szCs w:val="21"/>
                <w:lang w:eastAsia="zh-CN"/>
              </w:rPr>
              <w:t>生产部</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主管领导：</w:t>
            </w:r>
            <w:r>
              <w:rPr>
                <w:rFonts w:hint="eastAsia" w:ascii="宋体" w:hAnsi="宋体" w:cs="宋体"/>
                <w:sz w:val="21"/>
                <w:szCs w:val="21"/>
                <w:lang w:val="en-US" w:eastAsia="zh-CN"/>
              </w:rPr>
              <w:t>杨永栋</w:t>
            </w:r>
            <w:r>
              <w:rPr>
                <w:rFonts w:hint="eastAsia" w:ascii="宋体" w:hAnsi="宋体" w:eastAsia="宋体" w:cs="宋体"/>
                <w:sz w:val="21"/>
                <w:szCs w:val="21"/>
              </w:rPr>
              <w:t xml:space="preserve">    陪同人员：</w:t>
            </w:r>
            <w:r>
              <w:rPr>
                <w:rFonts w:hint="eastAsia" w:ascii="宋体" w:hAnsi="宋体" w:cs="宋体"/>
                <w:sz w:val="21"/>
                <w:szCs w:val="21"/>
                <w:lang w:val="en-US" w:eastAsia="zh-CN"/>
              </w:rPr>
              <w:t>魏苹</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81" w:type="dxa"/>
            <w:vMerge w:val="continue"/>
            <w:vAlign w:val="center"/>
          </w:tcPr>
          <w:p>
            <w:pPr>
              <w:spacing w:line="360" w:lineRule="auto"/>
              <w:rPr>
                <w:rFonts w:hint="eastAsia" w:ascii="宋体" w:hAnsi="宋体" w:eastAsia="宋体" w:cs="宋体"/>
                <w:sz w:val="21"/>
                <w:szCs w:val="21"/>
              </w:rPr>
            </w:pPr>
          </w:p>
        </w:tc>
        <w:tc>
          <w:tcPr>
            <w:tcW w:w="1139"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before="120" w:line="360" w:lineRule="auto"/>
              <w:rPr>
                <w:rFonts w:hint="default"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cs="宋体"/>
                <w:sz w:val="21"/>
                <w:szCs w:val="21"/>
                <w:lang w:val="en-US" w:eastAsia="zh-CN"/>
              </w:rPr>
              <w:t xml:space="preserve"> 郭力   陈琦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审核时间：20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2.2.22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81" w:type="dxa"/>
            <w:vMerge w:val="continue"/>
            <w:vAlign w:val="center"/>
          </w:tcPr>
          <w:p>
            <w:pPr>
              <w:spacing w:line="360" w:lineRule="auto"/>
              <w:rPr>
                <w:rFonts w:hint="eastAsia" w:ascii="宋体" w:hAnsi="宋体" w:eastAsia="宋体" w:cs="宋体"/>
                <w:sz w:val="21"/>
                <w:szCs w:val="21"/>
              </w:rPr>
            </w:pPr>
          </w:p>
        </w:tc>
        <w:tc>
          <w:tcPr>
            <w:tcW w:w="1139"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审核条款：</w:t>
            </w:r>
            <w:r>
              <w:rPr>
                <w:rFonts w:ascii="宋体" w:hAnsi="宋体" w:cs="Arial"/>
                <w:sz w:val="21"/>
                <w:szCs w:val="21"/>
              </w:rPr>
              <w:t>EMS: 5.3</w:t>
            </w:r>
            <w:r>
              <w:rPr>
                <w:rFonts w:hint="eastAsia" w:ascii="宋体" w:hAnsi="宋体" w:cs="Arial"/>
                <w:sz w:val="21"/>
                <w:szCs w:val="21"/>
              </w:rPr>
              <w:t>组织的岗位、职责和权限、</w:t>
            </w:r>
            <w:r>
              <w:rPr>
                <w:rFonts w:ascii="宋体" w:hAnsi="宋体" w:cs="Arial"/>
                <w:sz w:val="21"/>
                <w:szCs w:val="21"/>
              </w:rPr>
              <w:t>6.2</w:t>
            </w:r>
            <w:r>
              <w:rPr>
                <w:rFonts w:hint="eastAsia" w:ascii="宋体" w:hAnsi="宋体" w:cs="Arial"/>
                <w:sz w:val="21"/>
                <w:szCs w:val="21"/>
              </w:rPr>
              <w:t>环境与职业健康安全目标</w:t>
            </w:r>
            <w:r>
              <w:rPr>
                <w:rFonts w:hint="eastAsia" w:ascii="宋体" w:hAnsi="宋体" w:cs="Arial"/>
                <w:sz w:val="21"/>
                <w:szCs w:val="21"/>
                <w:u w:val="none"/>
              </w:rPr>
              <w:t>、</w:t>
            </w:r>
            <w:r>
              <w:rPr>
                <w:rFonts w:ascii="宋体" w:hAnsi="宋体" w:cs="Arial"/>
                <w:sz w:val="21"/>
                <w:szCs w:val="21"/>
                <w:u w:val="none"/>
              </w:rPr>
              <w:t>6.1.2</w:t>
            </w:r>
            <w:r>
              <w:rPr>
                <w:rFonts w:hint="eastAsia" w:ascii="宋体" w:hAnsi="宋体" w:cs="Arial"/>
                <w:sz w:val="21"/>
                <w:szCs w:val="21"/>
                <w:u w:val="none"/>
              </w:rPr>
              <w:t>环境因素</w:t>
            </w:r>
            <w:r>
              <w:rPr>
                <w:rFonts w:ascii="宋体" w:hAnsi="宋体" w:cs="Arial"/>
                <w:sz w:val="21"/>
                <w:szCs w:val="21"/>
                <w:u w:val="none"/>
              </w:rPr>
              <w:t>/</w:t>
            </w:r>
            <w:r>
              <w:rPr>
                <w:rFonts w:hint="eastAsia" w:ascii="宋体" w:hAnsi="宋体" w:cs="Arial"/>
                <w:sz w:val="21"/>
                <w:szCs w:val="21"/>
                <w:u w:val="none"/>
              </w:rPr>
              <w:t>危险源辨识与评价、</w:t>
            </w:r>
            <w:r>
              <w:rPr>
                <w:rFonts w:ascii="宋体" w:hAnsi="宋体" w:cs="Arial"/>
                <w:sz w:val="21"/>
                <w:szCs w:val="21"/>
                <w:u w:val="none"/>
              </w:rPr>
              <w:t>8.1</w:t>
            </w:r>
            <w:r>
              <w:rPr>
                <w:rFonts w:hint="eastAsia" w:ascii="宋体" w:hAnsi="宋体" w:cs="Arial"/>
                <w:sz w:val="21"/>
                <w:szCs w:val="21"/>
                <w:u w:val="none"/>
              </w:rPr>
              <w:t>运行策划和控制、</w:t>
            </w:r>
            <w:r>
              <w:rPr>
                <w:rFonts w:ascii="宋体" w:hAnsi="宋体" w:cs="Arial"/>
                <w:sz w:val="21"/>
                <w:szCs w:val="21"/>
              </w:rPr>
              <w:t>8.2</w:t>
            </w:r>
            <w:r>
              <w:rPr>
                <w:rFonts w:hint="eastAsia" w:ascii="宋体" w:hAnsi="宋体" w:cs="Arial"/>
                <w:sz w:val="21"/>
                <w:szCs w:val="21"/>
              </w:rPr>
              <w:t>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81" w:type="dxa"/>
          </w:tcPr>
          <w:p>
            <w:pPr>
              <w:adjustRightInd w:val="0"/>
              <w:snapToGrid w:val="0"/>
              <w:rPr>
                <w:rFonts w:hint="eastAsia" w:ascii="宋体" w:hAnsi="宋体" w:cs="新宋体"/>
                <w:szCs w:val="21"/>
              </w:rPr>
            </w:pPr>
          </w:p>
          <w:p>
            <w:pPr>
              <w:adjustRightInd w:val="0"/>
              <w:snapToGrid w:val="0"/>
              <w:rPr>
                <w:rFonts w:hint="eastAsia" w:ascii="宋体" w:hAnsi="宋体" w:cs="新宋体"/>
                <w:szCs w:val="21"/>
              </w:rPr>
            </w:pPr>
          </w:p>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1139" w:type="dxa"/>
          </w:tcPr>
          <w:p>
            <w:pPr>
              <w:rPr>
                <w:rFonts w:hint="eastAsia" w:ascii="宋体" w:hAnsi="宋体" w:cs="新宋体"/>
                <w:szCs w:val="21"/>
              </w:rPr>
            </w:pPr>
          </w:p>
          <w:p>
            <w:pPr>
              <w:rPr>
                <w:szCs w:val="21"/>
              </w:rPr>
            </w:pPr>
            <w:r>
              <w:rPr>
                <w:rFonts w:hint="eastAsia" w:ascii="宋体" w:hAnsi="宋体" w:cs="新宋体"/>
                <w:szCs w:val="21"/>
                <w:lang w:eastAsia="zh-CN"/>
              </w:rPr>
              <w:t>E</w:t>
            </w:r>
            <w:r>
              <w:rPr>
                <w:rFonts w:hint="eastAsia" w:ascii="宋体" w:hAnsi="宋体" w:cs="新宋体"/>
                <w:szCs w:val="21"/>
                <w:lang w:val="en-US" w:eastAsia="zh-CN"/>
              </w:rPr>
              <w:t>：</w:t>
            </w:r>
            <w:r>
              <w:rPr>
                <w:rFonts w:hint="eastAsia" w:ascii="宋体" w:hAnsi="宋体" w:cs="新宋体"/>
                <w:szCs w:val="21"/>
              </w:rPr>
              <w:t>5.3</w:t>
            </w:r>
          </w:p>
          <w:p>
            <w:pPr>
              <w:rPr>
                <w:rFonts w:ascii="宋体" w:hAnsi="宋体" w:cs="新宋体"/>
                <w:szCs w:val="21"/>
              </w:rPr>
            </w:pPr>
          </w:p>
        </w:tc>
        <w:tc>
          <w:tcPr>
            <w:tcW w:w="10004" w:type="dxa"/>
          </w:tcPr>
          <w:p>
            <w:pPr>
              <w:spacing w:line="360" w:lineRule="auto"/>
              <w:rPr>
                <w:rFonts w:ascii="宋体" w:hAnsi="宋体" w:cs="Arial"/>
                <w:szCs w:val="21"/>
              </w:rPr>
            </w:pPr>
            <w:r>
              <w:rPr>
                <w:rFonts w:hint="eastAsia" w:ascii="宋体" w:hAnsi="宋体" w:cs="Arial"/>
                <w:szCs w:val="21"/>
              </w:rPr>
              <w:t>在体系手册中规定了</w:t>
            </w:r>
            <w:r>
              <w:rPr>
                <w:rFonts w:hint="eastAsia" w:ascii="宋体" w:hAnsi="宋体" w:cs="Arial"/>
                <w:szCs w:val="21"/>
                <w:lang w:eastAsia="zh-CN"/>
              </w:rPr>
              <w:t>生产部</w:t>
            </w:r>
            <w:r>
              <w:rPr>
                <w:rFonts w:hint="eastAsia" w:ascii="宋体" w:hAnsi="宋体" w:cs="Arial"/>
                <w:szCs w:val="21"/>
              </w:rPr>
              <w:t>的环境安全职责和权限，以确保部门工作的展开和实施：</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负责公司质量关键节点和环境因素的识别与控制，编制应急预案，组织公司应急准备和响应工作。</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负责材料及零件的仓库管理：工机具的保管和发放；成品的保管发送和产品的保护。</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负责识别本部门的环境因素和危险源的辨识评价和控制工作；负责检验状态标识的实施、标识及可溯性的控制；</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负责组织对购买的原材料的进货验证工作；</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负责出版物、包装装潢、信封印制及其他印刷品的排版、印刷（资质范围内）的策划，评审，验证和确认。</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负责组织对生产过程中工序与成品的验证工作并记录；</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负责对监视测量设备的管理，保障监测设备的合格有效；</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负责识别本部门的环境因素和危险源的辨识评价和控制工作</w:t>
            </w:r>
          </w:p>
          <w:p>
            <w:pPr>
              <w:spacing w:line="360" w:lineRule="auto"/>
              <w:ind w:left="299" w:leftChars="142" w:hanging="1"/>
              <w:rPr>
                <w:rFonts w:hint="eastAsia" w:ascii="宋体" w:hAnsi="宋体" w:eastAsia="宋体" w:cs="Times New Roman"/>
                <w:szCs w:val="21"/>
              </w:rPr>
            </w:pPr>
            <w:r>
              <w:rPr>
                <w:rFonts w:hint="eastAsia" w:ascii="宋体" w:hAnsi="宋体" w:eastAsia="宋体" w:cs="Times New Roman"/>
                <w:szCs w:val="21"/>
              </w:rPr>
              <w:t>……</w:t>
            </w:r>
          </w:p>
          <w:p>
            <w:pPr>
              <w:spacing w:line="360" w:lineRule="auto"/>
              <w:ind w:firstLine="315" w:firstLineChars="150"/>
              <w:rPr>
                <w:rFonts w:ascii="宋体" w:hAnsi="宋体"/>
                <w:szCs w:val="21"/>
              </w:rPr>
            </w:pPr>
            <w:r>
              <w:rPr>
                <w:rFonts w:hint="eastAsia" w:ascii="宋体" w:hAnsi="宋体"/>
                <w:szCs w:val="21"/>
              </w:rPr>
              <w:t>部门职责清晰、明确。</w:t>
            </w:r>
          </w:p>
          <w:p>
            <w:pPr>
              <w:spacing w:line="360" w:lineRule="auto"/>
              <w:rPr>
                <w:rFonts w:ascii="宋体" w:hAnsi="宋体" w:cs="宋体"/>
                <w:szCs w:val="21"/>
              </w:rPr>
            </w:pPr>
            <w:r>
              <w:rPr>
                <w:rFonts w:hint="eastAsia" w:ascii="宋体" w:hAnsi="宋体"/>
                <w:szCs w:val="21"/>
                <w:lang w:val="en-US" w:eastAsia="zh-CN"/>
              </w:rPr>
              <w:t>部门</w:t>
            </w:r>
            <w:r>
              <w:rPr>
                <w:rFonts w:hint="eastAsia" w:ascii="宋体" w:hAnsi="宋体"/>
                <w:szCs w:val="21"/>
              </w:rPr>
              <w:t>负责人能基本阐述本部门的主要职责。</w:t>
            </w:r>
          </w:p>
        </w:tc>
        <w:tc>
          <w:tcPr>
            <w:tcW w:w="1585"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81" w:type="dxa"/>
          </w:tcPr>
          <w:p>
            <w:pPr>
              <w:spacing w:line="360" w:lineRule="auto"/>
              <w:rPr>
                <w:rFonts w:hint="eastAsia" w:ascii="宋体" w:hAnsi="宋体" w:eastAsia="宋体" w:cs="宋体"/>
                <w:szCs w:val="21"/>
              </w:rPr>
            </w:pPr>
          </w:p>
          <w:p>
            <w:pPr>
              <w:spacing w:line="360" w:lineRule="auto"/>
              <w:rPr>
                <w:rFonts w:hint="eastAsia" w:ascii="宋体" w:hAnsi="宋体" w:eastAsia="宋体" w:cs="宋体"/>
                <w:b/>
                <w:szCs w:val="21"/>
              </w:rPr>
            </w:pPr>
            <w:r>
              <w:rPr>
                <w:rFonts w:hint="eastAsia" w:ascii="宋体" w:hAnsi="宋体" w:eastAsia="宋体" w:cs="宋体"/>
                <w:szCs w:val="21"/>
              </w:rPr>
              <w:t>目标及其实现的策划</w:t>
            </w:r>
          </w:p>
        </w:tc>
        <w:tc>
          <w:tcPr>
            <w:tcW w:w="1139" w:type="dxa"/>
          </w:tcPr>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r>
              <w:rPr>
                <w:rFonts w:hint="eastAsia" w:ascii="宋体" w:hAnsi="宋体" w:cs="宋体"/>
                <w:szCs w:val="21"/>
                <w:lang w:eastAsia="zh-CN"/>
              </w:rPr>
              <w:t>E</w:t>
            </w:r>
            <w:r>
              <w:rPr>
                <w:rFonts w:hint="eastAsia" w:ascii="宋体" w:hAnsi="宋体" w:eastAsia="宋体" w:cs="宋体"/>
                <w:szCs w:val="21"/>
                <w:lang w:val="en-US" w:eastAsia="zh-CN"/>
              </w:rPr>
              <w:t>:</w:t>
            </w:r>
            <w:r>
              <w:rPr>
                <w:rFonts w:hint="eastAsia" w:ascii="宋体" w:hAnsi="宋体" w:eastAsia="宋体" w:cs="宋体"/>
                <w:szCs w:val="21"/>
              </w:rPr>
              <w:t>6.2</w:t>
            </w:r>
          </w:p>
          <w:p>
            <w:pPr>
              <w:spacing w:line="360" w:lineRule="auto"/>
              <w:rPr>
                <w:rFonts w:hint="eastAsia" w:ascii="宋体" w:hAnsi="宋体" w:eastAsia="宋体" w:cs="宋体"/>
                <w:szCs w:val="21"/>
              </w:rPr>
            </w:pPr>
          </w:p>
        </w:tc>
        <w:tc>
          <w:tcPr>
            <w:tcW w:w="10004" w:type="dxa"/>
          </w:tcPr>
          <w:p>
            <w:pPr>
              <w:spacing w:line="360" w:lineRule="auto"/>
              <w:rPr>
                <w:rFonts w:hint="eastAsia" w:ascii="宋体" w:hAnsi="宋体" w:eastAsia="宋体" w:cs="宋体"/>
                <w:szCs w:val="21"/>
              </w:rPr>
            </w:pPr>
            <w:r>
              <w:rPr>
                <w:rFonts w:hint="eastAsia" w:ascii="宋体" w:hAnsi="宋体" w:eastAsia="宋体" w:cs="宋体"/>
                <w:szCs w:val="21"/>
              </w:rPr>
              <w:t>查见：公司建立有《管理目标、指标</w:t>
            </w:r>
            <w:r>
              <w:rPr>
                <w:rFonts w:hint="eastAsia" w:ascii="宋体" w:hAnsi="宋体" w:cs="宋体"/>
                <w:szCs w:val="21"/>
                <w:lang w:val="en-US" w:eastAsia="zh-CN"/>
              </w:rPr>
              <w:t>分解</w:t>
            </w:r>
            <w:r>
              <w:rPr>
                <w:rFonts w:hint="eastAsia" w:ascii="宋体" w:hAnsi="宋体" w:eastAsia="宋体" w:cs="宋体"/>
                <w:szCs w:val="21"/>
              </w:rPr>
              <w:t>及管理方案》，</w:t>
            </w:r>
          </w:p>
          <w:p>
            <w:pPr>
              <w:spacing w:line="360" w:lineRule="auto"/>
              <w:rPr>
                <w:rFonts w:hint="eastAsia" w:ascii="宋体" w:hAnsi="宋体" w:eastAsia="宋体" w:cs="宋体"/>
                <w:szCs w:val="21"/>
                <w:lang w:eastAsia="zh-CN"/>
              </w:rPr>
            </w:pPr>
            <w:r>
              <w:rPr>
                <w:rFonts w:hint="eastAsia" w:ascii="宋体" w:hAnsi="宋体" w:eastAsia="宋体" w:cs="宋体"/>
                <w:szCs w:val="21"/>
              </w:rPr>
              <w:t>查</w:t>
            </w:r>
            <w:r>
              <w:rPr>
                <w:rFonts w:hint="eastAsia" w:ascii="宋体" w:hAnsi="宋体" w:cs="宋体"/>
                <w:szCs w:val="21"/>
                <w:lang w:eastAsia="zh-CN"/>
              </w:rPr>
              <w:t>生产部</w:t>
            </w:r>
          </w:p>
          <w:p>
            <w:pPr>
              <w:spacing w:line="360" w:lineRule="auto"/>
              <w:rPr>
                <w:rFonts w:hint="eastAsia" w:ascii="宋体" w:hAnsi="宋体" w:eastAsia="宋体" w:cs="宋体"/>
                <w:szCs w:val="21"/>
              </w:rPr>
            </w:pPr>
            <w:r>
              <w:rPr>
                <w:rFonts w:hint="eastAsia" w:ascii="宋体" w:hAnsi="宋体" w:eastAsia="宋体" w:cs="宋体"/>
                <w:szCs w:val="21"/>
              </w:rPr>
              <w:t>环境、职业健康安全目标指标：  考核情况（20</w:t>
            </w:r>
            <w:r>
              <w:rPr>
                <w:rFonts w:hint="eastAsia" w:ascii="宋体" w:hAnsi="宋体" w:eastAsia="宋体" w:cs="宋体"/>
                <w:szCs w:val="21"/>
                <w:lang w:val="en-US" w:eastAsia="zh-CN"/>
              </w:rPr>
              <w:t>2</w:t>
            </w:r>
            <w:r>
              <w:rPr>
                <w:rFonts w:hint="eastAsia" w:ascii="宋体" w:hAnsi="宋体" w:cs="宋体"/>
                <w:szCs w:val="21"/>
                <w:lang w:val="en-US" w:eastAsia="zh-CN"/>
              </w:rPr>
              <w:t>1</w:t>
            </w:r>
            <w:r>
              <w:rPr>
                <w:rFonts w:hint="eastAsia" w:ascii="宋体" w:hAnsi="宋体" w:eastAsia="宋体" w:cs="宋体"/>
                <w:szCs w:val="21"/>
              </w:rPr>
              <w:t>年</w:t>
            </w:r>
            <w:r>
              <w:rPr>
                <w:rFonts w:hint="eastAsia" w:ascii="宋体" w:hAnsi="宋体" w:cs="宋体"/>
                <w:szCs w:val="21"/>
                <w:lang w:val="en-US" w:eastAsia="zh-CN"/>
              </w:rPr>
              <w:t>12</w:t>
            </w:r>
            <w:r>
              <w:rPr>
                <w:rFonts w:hint="eastAsia" w:ascii="宋体" w:hAnsi="宋体" w:eastAsia="宋体" w:cs="宋体"/>
                <w:szCs w:val="21"/>
              </w:rPr>
              <w:t>月</w:t>
            </w:r>
            <w:r>
              <w:rPr>
                <w:rFonts w:hint="eastAsia" w:ascii="宋体" w:hAnsi="宋体" w:cs="宋体"/>
                <w:szCs w:val="21"/>
                <w:lang w:val="en-US" w:eastAsia="zh-CN"/>
              </w:rPr>
              <w:t>20日</w:t>
            </w:r>
            <w:r>
              <w:rPr>
                <w:rFonts w:hint="eastAsia" w:ascii="宋体" w:hAnsi="宋体" w:eastAsia="宋体" w:cs="宋体"/>
                <w:szCs w:val="21"/>
              </w:rPr>
              <w:t>）</w:t>
            </w:r>
          </w:p>
          <w:p>
            <w:pPr>
              <w:spacing w:line="360" w:lineRule="auto"/>
              <w:rPr>
                <w:rFonts w:hint="eastAsia" w:ascii="宋体" w:hAnsi="宋体" w:eastAsia="宋体" w:cs="宋体"/>
                <w:szCs w:val="21"/>
              </w:rPr>
            </w:pPr>
            <w:r>
              <w:rPr>
                <w:rFonts w:hint="eastAsia" w:ascii="宋体" w:hAnsi="宋体" w:eastAsia="宋体" w:cs="宋体"/>
                <w:szCs w:val="21"/>
              </w:rPr>
              <w:t>1.生产现场噪声、废气、废水排放达标</w:t>
            </w:r>
            <w:r>
              <w:rPr>
                <w:rFonts w:hint="eastAsia" w:ascii="宋体" w:hAnsi="宋体" w:eastAsia="宋体" w:cs="宋体"/>
                <w:szCs w:val="21"/>
              </w:rPr>
              <w:tab/>
            </w:r>
            <w:r>
              <w:rPr>
                <w:rFonts w:hint="eastAsia" w:ascii="宋体" w:hAnsi="宋体" w:cs="宋体"/>
                <w:szCs w:val="21"/>
                <w:lang w:val="en-US" w:eastAsia="zh-CN"/>
              </w:rPr>
              <w:t xml:space="preserve">    </w:t>
            </w:r>
            <w:r>
              <w:rPr>
                <w:rFonts w:hint="eastAsia" w:ascii="宋体" w:hAnsi="宋体" w:eastAsia="宋体" w:cs="宋体"/>
                <w:szCs w:val="21"/>
              </w:rPr>
              <w:t>按委外的检查报告考核</w:t>
            </w:r>
            <w:r>
              <w:rPr>
                <w:rFonts w:hint="eastAsia" w:ascii="宋体" w:hAnsi="宋体" w:eastAsia="宋体" w:cs="宋体"/>
                <w:szCs w:val="21"/>
              </w:rPr>
              <w:tab/>
            </w:r>
            <w:r>
              <w:rPr>
                <w:rFonts w:hint="eastAsia" w:ascii="宋体" w:hAnsi="宋体" w:cs="宋体"/>
                <w:szCs w:val="21"/>
                <w:lang w:val="en-US" w:eastAsia="zh-CN"/>
              </w:rPr>
              <w:t xml:space="preserve">   </w:t>
            </w:r>
            <w:r>
              <w:rPr>
                <w:rFonts w:hint="eastAsia" w:ascii="宋体" w:hAnsi="宋体" w:eastAsia="宋体" w:cs="宋体"/>
                <w:szCs w:val="21"/>
              </w:rPr>
              <w:t>达标</w:t>
            </w:r>
          </w:p>
          <w:p>
            <w:pPr>
              <w:spacing w:line="360" w:lineRule="auto"/>
              <w:rPr>
                <w:rFonts w:hint="eastAsia" w:ascii="宋体" w:hAnsi="宋体" w:eastAsia="宋体" w:cs="宋体"/>
                <w:szCs w:val="21"/>
              </w:rPr>
            </w:pPr>
            <w:r>
              <w:rPr>
                <w:rFonts w:hint="eastAsia" w:ascii="宋体" w:hAnsi="宋体" w:eastAsia="宋体" w:cs="宋体"/>
                <w:szCs w:val="21"/>
              </w:rPr>
              <w:t>2．生产场所分类处理各类废弃物，有专门收集箱并标识，回收处理率</w:t>
            </w:r>
            <w:r>
              <w:rPr>
                <w:rFonts w:hint="eastAsia" w:ascii="宋体" w:hAnsi="宋体" w:cs="宋体"/>
                <w:szCs w:val="21"/>
                <w:lang w:val="en-US" w:eastAsia="zh-CN"/>
              </w:rPr>
              <w:t xml:space="preserve">        </w:t>
            </w:r>
            <w:r>
              <w:rPr>
                <w:rFonts w:hint="eastAsia" w:ascii="宋体" w:hAnsi="宋体" w:eastAsia="宋体" w:cs="宋体"/>
                <w:szCs w:val="21"/>
              </w:rPr>
              <w:t>100%.</w:t>
            </w:r>
            <w:r>
              <w:rPr>
                <w:rFonts w:hint="eastAsia" w:ascii="宋体" w:hAnsi="宋体" w:eastAsia="宋体" w:cs="宋体"/>
                <w:szCs w:val="21"/>
              </w:rPr>
              <w:tab/>
            </w:r>
          </w:p>
          <w:p>
            <w:pPr>
              <w:spacing w:line="360" w:lineRule="auto"/>
              <w:ind w:firstLine="4200" w:firstLineChars="2000"/>
              <w:rPr>
                <w:rFonts w:hint="eastAsia" w:ascii="宋体" w:hAnsi="宋体" w:eastAsia="宋体" w:cs="宋体"/>
                <w:szCs w:val="21"/>
              </w:rPr>
            </w:pPr>
            <w:r>
              <w:rPr>
                <w:rFonts w:hint="eastAsia" w:ascii="宋体" w:hAnsi="宋体" w:eastAsia="宋体" w:cs="宋体"/>
                <w:szCs w:val="21"/>
              </w:rPr>
              <w:t>处理率＝处理数÷应回收处理总数100%</w:t>
            </w:r>
            <w:r>
              <w:rPr>
                <w:rFonts w:hint="eastAsia" w:ascii="宋体" w:hAnsi="宋体" w:eastAsia="宋体" w:cs="宋体"/>
                <w:szCs w:val="21"/>
              </w:rPr>
              <w:tab/>
            </w:r>
            <w:r>
              <w:rPr>
                <w:rFonts w:hint="eastAsia" w:ascii="宋体" w:hAnsi="宋体" w:eastAsia="宋体" w:cs="宋体"/>
                <w:szCs w:val="21"/>
              </w:rPr>
              <w:t>100%</w:t>
            </w:r>
          </w:p>
          <w:p>
            <w:pPr>
              <w:spacing w:line="360" w:lineRule="auto"/>
              <w:rPr>
                <w:rFonts w:hint="eastAsia" w:ascii="宋体" w:hAnsi="宋体" w:eastAsia="宋体" w:cs="宋体"/>
                <w:szCs w:val="21"/>
              </w:rPr>
            </w:pPr>
            <w:r>
              <w:rPr>
                <w:rFonts w:hint="eastAsia" w:ascii="宋体" w:hAnsi="宋体" w:eastAsia="宋体" w:cs="宋体"/>
                <w:szCs w:val="21"/>
              </w:rPr>
              <w:t>3.火灾事故发生率为0</w:t>
            </w:r>
            <w:r>
              <w:rPr>
                <w:rFonts w:hint="eastAsia" w:ascii="宋体" w:hAnsi="宋体" w:eastAsia="宋体" w:cs="宋体"/>
                <w:szCs w:val="21"/>
              </w:rPr>
              <w:tab/>
            </w:r>
            <w:r>
              <w:rPr>
                <w:rFonts w:hint="eastAsia" w:ascii="宋体" w:hAnsi="宋体" w:cs="宋体"/>
                <w:szCs w:val="21"/>
                <w:lang w:val="en-US" w:eastAsia="zh-CN"/>
              </w:rPr>
              <w:t xml:space="preserve">                    </w:t>
            </w:r>
            <w:r>
              <w:rPr>
                <w:rFonts w:hint="eastAsia" w:ascii="宋体" w:hAnsi="宋体" w:eastAsia="宋体" w:cs="宋体"/>
                <w:szCs w:val="21"/>
              </w:rPr>
              <w:t>考核期内统计</w:t>
            </w:r>
            <w:r>
              <w:rPr>
                <w:rFonts w:hint="eastAsia" w:ascii="宋体" w:hAnsi="宋体" w:eastAsia="宋体" w:cs="宋体"/>
                <w:szCs w:val="21"/>
              </w:rPr>
              <w:tab/>
            </w:r>
            <w:r>
              <w:rPr>
                <w:rFonts w:hint="eastAsia" w:ascii="宋体" w:hAnsi="宋体" w:eastAsia="宋体" w:cs="宋体"/>
                <w:szCs w:val="21"/>
              </w:rPr>
              <w:t>0</w:t>
            </w:r>
          </w:p>
          <w:p>
            <w:pPr>
              <w:spacing w:line="360" w:lineRule="auto"/>
              <w:rPr>
                <w:rFonts w:hint="eastAsia" w:ascii="宋体" w:hAnsi="宋体" w:eastAsia="宋体" w:cs="宋体"/>
                <w:szCs w:val="21"/>
              </w:rPr>
            </w:pPr>
            <w:r>
              <w:rPr>
                <w:rFonts w:hint="eastAsia" w:ascii="宋体" w:hAnsi="宋体" w:eastAsia="宋体" w:cs="宋体"/>
                <w:szCs w:val="21"/>
              </w:rPr>
              <w:t>4．重大安全事故发生率为0</w:t>
            </w:r>
            <w:r>
              <w:rPr>
                <w:rFonts w:hint="eastAsia" w:ascii="宋体" w:hAnsi="宋体" w:eastAsia="宋体" w:cs="宋体"/>
                <w:szCs w:val="21"/>
              </w:rPr>
              <w:tab/>
            </w:r>
            <w:r>
              <w:rPr>
                <w:rFonts w:hint="eastAsia" w:ascii="宋体" w:hAnsi="宋体" w:cs="宋体"/>
                <w:szCs w:val="21"/>
                <w:lang w:val="en-US" w:eastAsia="zh-CN"/>
              </w:rPr>
              <w:t xml:space="preserve">             </w:t>
            </w:r>
            <w:r>
              <w:rPr>
                <w:rFonts w:hint="eastAsia" w:ascii="宋体" w:hAnsi="宋体" w:eastAsia="宋体" w:cs="宋体"/>
                <w:szCs w:val="21"/>
              </w:rPr>
              <w:t>考核期内统计</w:t>
            </w:r>
            <w:r>
              <w:rPr>
                <w:rFonts w:hint="eastAsia" w:ascii="宋体" w:hAnsi="宋体" w:eastAsia="宋体" w:cs="宋体"/>
                <w:szCs w:val="21"/>
              </w:rPr>
              <w:tab/>
            </w:r>
            <w:r>
              <w:rPr>
                <w:rFonts w:hint="eastAsia" w:ascii="宋体" w:hAnsi="宋体" w:eastAsia="宋体" w:cs="宋体"/>
                <w:szCs w:val="21"/>
              </w:rPr>
              <w:t>0</w:t>
            </w:r>
          </w:p>
          <w:p>
            <w:pPr>
              <w:spacing w:line="360" w:lineRule="auto"/>
              <w:rPr>
                <w:rFonts w:hint="eastAsia"/>
              </w:rPr>
            </w:pPr>
            <w:r>
              <w:rPr>
                <w:rFonts w:hint="eastAsia" w:ascii="宋体" w:hAnsi="宋体" w:eastAsia="宋体" w:cs="宋体"/>
                <w:szCs w:val="21"/>
              </w:rPr>
              <w:t>5.职业病发生率0</w:t>
            </w:r>
            <w:r>
              <w:rPr>
                <w:rFonts w:hint="eastAsia" w:ascii="宋体" w:hAnsi="宋体" w:cs="宋体"/>
                <w:szCs w:val="21"/>
                <w:lang w:val="en-US" w:eastAsia="zh-CN"/>
              </w:rPr>
              <w:t xml:space="preserve">                       </w:t>
            </w:r>
            <w:r>
              <w:rPr>
                <w:rFonts w:hint="eastAsia" w:ascii="宋体" w:hAnsi="宋体" w:eastAsia="宋体" w:cs="宋体"/>
                <w:szCs w:val="21"/>
              </w:rPr>
              <w:tab/>
            </w:r>
            <w:r>
              <w:rPr>
                <w:rFonts w:hint="eastAsia" w:ascii="宋体" w:hAnsi="宋体" w:eastAsia="宋体" w:cs="宋体"/>
                <w:szCs w:val="21"/>
              </w:rPr>
              <w:t>考核期内统计</w:t>
            </w:r>
            <w:r>
              <w:rPr>
                <w:rFonts w:hint="eastAsia" w:ascii="宋体" w:hAnsi="宋体" w:eastAsia="宋体" w:cs="宋体"/>
                <w:szCs w:val="21"/>
              </w:rPr>
              <w:tab/>
            </w:r>
            <w:r>
              <w:rPr>
                <w:rFonts w:hint="eastAsia" w:ascii="宋体" w:hAnsi="宋体" w:eastAsia="宋体" w:cs="宋体"/>
                <w:szCs w:val="21"/>
              </w:rPr>
              <w:t>0</w:t>
            </w:r>
          </w:p>
          <w:p>
            <w:pPr>
              <w:spacing w:line="360" w:lineRule="auto"/>
              <w:ind w:firstLine="210" w:firstLineChars="100"/>
              <w:rPr>
                <w:rFonts w:hint="eastAsia" w:ascii="宋体" w:hAnsi="宋体" w:eastAsia="宋体" w:cs="宋体"/>
                <w:szCs w:val="21"/>
                <w:lang w:val="en-US" w:eastAsia="zh-CN"/>
              </w:rPr>
            </w:pPr>
            <w:r>
              <w:rPr>
                <w:rFonts w:hint="eastAsia" w:ascii="宋体" w:hAnsi="宋体" w:eastAsia="宋体" w:cs="宋体"/>
                <w:szCs w:val="21"/>
              </w:rPr>
              <w:t>查提供的《环境、安全目标完成统计表》，考核均完成目标任务</w:t>
            </w:r>
            <w:r>
              <w:rPr>
                <w:rFonts w:hint="eastAsia" w:ascii="宋体" w:hAnsi="宋体" w:cs="宋体"/>
                <w:szCs w:val="21"/>
                <w:lang w:eastAsia="zh-CN"/>
              </w:rPr>
              <w:t>。</w:t>
            </w:r>
          </w:p>
          <w:p>
            <w:pPr>
              <w:spacing w:line="360" w:lineRule="auto"/>
              <w:rPr>
                <w:rFonts w:hint="eastAsia" w:ascii="宋体" w:hAnsi="宋体" w:eastAsia="宋体" w:cs="宋体"/>
                <w:szCs w:val="21"/>
              </w:rPr>
            </w:pPr>
            <w:r>
              <w:rPr>
                <w:rFonts w:hint="eastAsia" w:ascii="宋体" w:hAnsi="宋体" w:eastAsia="宋体" w:cs="宋体"/>
                <w:szCs w:val="21"/>
              </w:rPr>
              <w:t>查见环境目标管理方案有时间期限、具体措施、责任人。</w:t>
            </w:r>
          </w:p>
          <w:p>
            <w:pPr>
              <w:spacing w:line="360" w:lineRule="auto"/>
              <w:rPr>
                <w:rFonts w:hint="eastAsia" w:ascii="宋体" w:hAnsi="宋体" w:eastAsia="宋体" w:cs="宋体"/>
                <w:szCs w:val="21"/>
              </w:rPr>
            </w:pPr>
            <w:r>
              <w:rPr>
                <w:rFonts w:hint="eastAsia" w:ascii="宋体" w:hAnsi="宋体" w:cs="宋体"/>
                <w:szCs w:val="21"/>
                <w:lang w:val="en-US" w:eastAsia="zh-CN"/>
              </w:rPr>
              <w:t>抽</w:t>
            </w:r>
            <w:r>
              <w:rPr>
                <w:rFonts w:hint="eastAsia" w:ascii="宋体" w:hAnsi="宋体" w:eastAsia="宋体" w:cs="宋体"/>
                <w:szCs w:val="21"/>
              </w:rPr>
              <w:t>查见固体废弃物</w:t>
            </w:r>
            <w:r>
              <w:rPr>
                <w:rFonts w:hint="eastAsia" w:ascii="宋体" w:hAnsi="宋体" w:cs="宋体"/>
                <w:szCs w:val="21"/>
                <w:lang w:val="en-US" w:eastAsia="zh-CN"/>
              </w:rPr>
              <w:t>控制</w:t>
            </w:r>
            <w:r>
              <w:rPr>
                <w:rFonts w:hint="eastAsia" w:ascii="宋体" w:hAnsi="宋体" w:eastAsia="宋体" w:cs="宋体"/>
                <w:szCs w:val="21"/>
              </w:rPr>
              <w:t>的管理方案：</w:t>
            </w:r>
          </w:p>
          <w:p>
            <w:pPr>
              <w:spacing w:line="360" w:lineRule="auto"/>
              <w:rPr>
                <w:rFonts w:hint="eastAsia" w:hAnsi="宋体" w:eastAsia="宋体"/>
              </w:rPr>
            </w:pPr>
            <w:r>
              <w:rPr>
                <w:rFonts w:hint="eastAsia" w:hAnsi="宋体" w:eastAsia="宋体"/>
              </w:rPr>
              <w:t>1</w:t>
            </w:r>
            <w:r>
              <w:rPr>
                <w:rFonts w:hint="eastAsia" w:hAnsi="宋体"/>
                <w:lang w:eastAsia="zh-CN"/>
              </w:rPr>
              <w:t>）</w:t>
            </w:r>
            <w:r>
              <w:rPr>
                <w:rFonts w:hint="eastAsia" w:hAnsi="宋体" w:eastAsia="宋体"/>
              </w:rPr>
              <w:t>落实固体废弃物管理责任制，严格管理。2</w:t>
            </w:r>
            <w:r>
              <w:rPr>
                <w:rFonts w:hint="eastAsia" w:hAnsi="宋体"/>
                <w:lang w:eastAsia="zh-CN"/>
              </w:rPr>
              <w:t>）</w:t>
            </w:r>
            <w:r>
              <w:rPr>
                <w:rFonts w:hint="eastAsia" w:hAnsi="宋体" w:eastAsia="宋体"/>
              </w:rPr>
              <w:t>厂区加强检查、巡视，发现不合格及时采取纠正和预防措施。</w:t>
            </w:r>
          </w:p>
          <w:p>
            <w:pPr>
              <w:widowControl/>
              <w:spacing w:line="360" w:lineRule="auto"/>
              <w:ind w:firstLine="210" w:firstLineChars="100"/>
              <w:jc w:val="left"/>
              <w:rPr>
                <w:rFonts w:hint="eastAsia" w:ascii="宋体" w:hAnsi="宋体" w:eastAsia="宋体" w:cs="宋体"/>
                <w:szCs w:val="21"/>
              </w:rPr>
            </w:pPr>
            <w:r>
              <w:rPr>
                <w:rFonts w:hint="eastAsia" w:hAnsi="宋体" w:eastAsia="宋体"/>
              </w:rPr>
              <w:t>3</w:t>
            </w:r>
            <w:r>
              <w:rPr>
                <w:rFonts w:hint="eastAsia" w:hAnsi="宋体"/>
                <w:lang w:eastAsia="zh-CN"/>
              </w:rPr>
              <w:t>）</w:t>
            </w:r>
            <w:r>
              <w:rPr>
                <w:rFonts w:hint="eastAsia" w:hAnsi="宋体" w:eastAsia="宋体"/>
              </w:rPr>
              <w:t>严格按可回收、不可回收和危废分类处理；合格划分可回收、不可回收和危废的临时存放区域。4</w:t>
            </w:r>
            <w:r>
              <w:rPr>
                <w:rFonts w:hint="eastAsia" w:hAnsi="宋体"/>
                <w:lang w:eastAsia="zh-CN"/>
              </w:rPr>
              <w:t>）</w:t>
            </w:r>
            <w:r>
              <w:rPr>
                <w:rFonts w:hint="eastAsia" w:hAnsi="宋体" w:eastAsia="宋体"/>
              </w:rPr>
              <w:t>与相关方加强沟通和施加影响，如向外来人员宣传环境保护要求，与垃圾处理、环境保护部门加强沟通，及时清运。</w:t>
            </w:r>
            <w:r>
              <w:rPr>
                <w:rFonts w:hint="eastAsia" w:ascii="宋体" w:hAnsi="宋体" w:eastAsia="宋体" w:cs="宋体"/>
                <w:szCs w:val="21"/>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981" w:type="dxa"/>
          </w:tcPr>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ascii="宋体" w:hAnsi="宋体" w:cs="新宋体"/>
                <w:szCs w:val="21"/>
              </w:rPr>
            </w:pPr>
            <w:r>
              <w:rPr>
                <w:rFonts w:hint="eastAsia" w:ascii="宋体" w:hAnsi="宋体" w:cs="新宋体"/>
                <w:szCs w:val="21"/>
              </w:rPr>
              <w:t>环境因素</w:t>
            </w:r>
          </w:p>
        </w:tc>
        <w:tc>
          <w:tcPr>
            <w:tcW w:w="1139" w:type="dxa"/>
          </w:tcPr>
          <w:p>
            <w:pPr>
              <w:spacing w:line="360" w:lineRule="auto"/>
              <w:rPr>
                <w:rFonts w:hint="eastAsia" w:ascii="宋体" w:hAnsi="宋体" w:cs="新宋体"/>
                <w:szCs w:val="21"/>
              </w:rPr>
            </w:pPr>
          </w:p>
          <w:p>
            <w:pPr>
              <w:spacing w:line="360" w:lineRule="auto"/>
              <w:rPr>
                <w:rFonts w:hint="eastAsia" w:ascii="宋体" w:hAnsi="宋体" w:cs="新宋体"/>
                <w:szCs w:val="21"/>
              </w:rPr>
            </w:pPr>
          </w:p>
          <w:p>
            <w:pPr>
              <w:spacing w:line="360" w:lineRule="auto"/>
              <w:rPr>
                <w:rFonts w:hint="eastAsia" w:ascii="宋体" w:hAnsi="宋体" w:cs="新宋体"/>
                <w:szCs w:val="21"/>
              </w:rPr>
            </w:pPr>
          </w:p>
          <w:p>
            <w:pPr>
              <w:spacing w:line="360" w:lineRule="auto"/>
              <w:rPr>
                <w:rFonts w:ascii="宋体" w:hAnsi="宋体" w:cs="新宋体"/>
                <w:szCs w:val="21"/>
              </w:rPr>
            </w:pPr>
            <w:r>
              <w:rPr>
                <w:rFonts w:hint="eastAsia" w:ascii="宋体" w:hAnsi="宋体" w:cs="新宋体"/>
                <w:szCs w:val="21"/>
              </w:rPr>
              <w:t>E6.1.2</w:t>
            </w:r>
          </w:p>
        </w:tc>
        <w:tc>
          <w:tcPr>
            <w:tcW w:w="10004" w:type="dxa"/>
            <w:vAlign w:val="top"/>
          </w:tcPr>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编制《环境因素识别和评价控制程序》程序，按照相关程序执行</w:t>
            </w:r>
          </w:p>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提供《环境因素识别排查表》识别了</w:t>
            </w:r>
            <w:r>
              <w:rPr>
                <w:rFonts w:hint="eastAsia" w:ascii="宋体" w:hAnsi="宋体" w:cs="Times New Roman" w:eastAsiaTheme="minorEastAsia"/>
                <w:sz w:val="21"/>
                <w:szCs w:val="21"/>
                <w:lang w:eastAsia="zh-CN"/>
              </w:rPr>
              <w:t>出版物、包装装潢印刷品、其他印刷品的印刷</w:t>
            </w:r>
            <w:r>
              <w:rPr>
                <w:rFonts w:hint="eastAsia" w:ascii="宋体" w:hAnsi="宋体" w:cs="Times New Roman"/>
                <w:sz w:val="21"/>
                <w:szCs w:val="21"/>
              </w:rPr>
              <w:t>过程</w:t>
            </w:r>
            <w:r>
              <w:rPr>
                <w:rFonts w:hint="eastAsia" w:ascii="宋体" w:hAnsi="宋体" w:cs="Times New Roman"/>
                <w:sz w:val="21"/>
                <w:szCs w:val="21"/>
                <w:lang w:val="en-US" w:eastAsia="zh-CN"/>
              </w:rPr>
              <w:t>等</w:t>
            </w:r>
            <w:r>
              <w:rPr>
                <w:rFonts w:hint="eastAsia" w:asciiTheme="minorEastAsia" w:hAnsiTheme="minorEastAsia" w:eastAsiaTheme="minorEastAsia" w:cstheme="minorEastAsia"/>
                <w:sz w:val="21"/>
                <w:szCs w:val="21"/>
                <w:highlight w:val="none"/>
                <w:lang w:val="en-US" w:eastAsia="zh-CN"/>
              </w:rPr>
              <w:t>环境因素包括：</w:t>
            </w:r>
          </w:p>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水的消耗、电的消耗、固体废弃物（包装物）排放、噪声的排放、废气排放、潜在火灾、生活水消耗、洗涤后污水排放、危废等；</w:t>
            </w:r>
          </w:p>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提供《重要环境因素清单》4项，包括固体废弃物（含危废）、噪声、潜在火灾和爆炸、废气排放</w:t>
            </w:r>
            <w:r>
              <w:rPr>
                <w:rFonts w:hint="eastAsia" w:asciiTheme="minorEastAsia" w:hAnsiTheme="minorEastAsia" w:eastAsiaTheme="minorEastAsia" w:cstheme="minorEastAsia"/>
                <w:color w:val="auto"/>
                <w:sz w:val="21"/>
                <w:szCs w:val="21"/>
                <w:highlight w:val="none"/>
                <w:lang w:val="en-US" w:eastAsia="zh-CN"/>
              </w:rPr>
              <w:t>。</w:t>
            </w:r>
          </w:p>
          <w:p>
            <w:pPr>
              <w:pStyle w:val="2"/>
              <w:spacing w:line="360" w:lineRule="auto"/>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以上重要环境因素清单中制定了针对性控制措施，措施基本有效。</w:t>
            </w:r>
          </w:p>
          <w:p>
            <w:pPr>
              <w:pStyle w:val="2"/>
              <w:spacing w:line="360" w:lineRule="auto"/>
              <w:rPr>
                <w:rFonts w:hint="eastAsia" w:ascii="宋体" w:hAnsi="宋体" w:cs="宋体"/>
                <w:sz w:val="21"/>
                <w:szCs w:val="21"/>
              </w:rPr>
            </w:pPr>
            <w:r>
              <w:rPr>
                <w:rFonts w:hint="eastAsia" w:ascii="宋体" w:hAnsi="宋体" w:cs="宋体"/>
                <w:sz w:val="21"/>
                <w:szCs w:val="21"/>
              </w:rPr>
              <w:t>环境</w:t>
            </w:r>
            <w:r>
              <w:rPr>
                <w:rFonts w:hint="eastAsia" w:ascii="宋体" w:hAnsi="宋体" w:cs="宋体"/>
                <w:sz w:val="21"/>
                <w:szCs w:val="21"/>
                <w:lang w:val="en-US" w:eastAsia="zh-CN"/>
              </w:rPr>
              <w:t>管理</w:t>
            </w:r>
            <w:r>
              <w:rPr>
                <w:rFonts w:hint="eastAsia" w:ascii="宋体" w:hAnsi="宋体" w:cs="宋体"/>
                <w:sz w:val="21"/>
                <w:szCs w:val="21"/>
              </w:rPr>
              <w:t>体系建立了管理方案，查管理方案表：</w:t>
            </w:r>
          </w:p>
          <w:p>
            <w:pPr>
              <w:pStyle w:val="2"/>
              <w:numPr>
                <w:ilvl w:val="0"/>
                <w:numId w:val="1"/>
              </w:numPr>
              <w:spacing w:line="360" w:lineRule="auto"/>
              <w:rPr>
                <w:rFonts w:hint="default"/>
                <w:sz w:val="21"/>
                <w:szCs w:val="21"/>
                <w:lang w:val="en-US" w:eastAsia="zh-CN"/>
              </w:rPr>
            </w:pPr>
            <w:r>
              <w:rPr>
                <w:rFonts w:hint="eastAsia"/>
                <w:sz w:val="21"/>
                <w:szCs w:val="21"/>
              </w:rPr>
              <w:t>固废排放</w:t>
            </w:r>
            <w:r>
              <w:rPr>
                <w:rFonts w:hint="eastAsia"/>
                <w:sz w:val="21"/>
                <w:szCs w:val="21"/>
                <w:lang w:eastAsia="zh-CN"/>
              </w:rPr>
              <w:t>：主要技术措施：1）经一般固废暂存处暂存后外售；2</w:t>
            </w:r>
            <w:r>
              <w:rPr>
                <w:rFonts w:hint="eastAsia"/>
                <w:sz w:val="21"/>
                <w:szCs w:val="21"/>
                <w:lang w:val="en-US" w:eastAsia="zh-CN"/>
              </w:rPr>
              <w:t>)</w:t>
            </w:r>
            <w:r>
              <w:rPr>
                <w:rFonts w:hint="eastAsia"/>
                <w:sz w:val="21"/>
                <w:szCs w:val="21"/>
                <w:lang w:eastAsia="zh-CN"/>
              </w:rPr>
              <w:t>交由设备厂家回收；3）交由有资质单位处置；4）生活垃圾收集后运至垃圾中转处置</w:t>
            </w:r>
          </w:p>
          <w:p>
            <w:pPr>
              <w:pStyle w:val="2"/>
              <w:numPr>
                <w:ilvl w:val="0"/>
                <w:numId w:val="1"/>
              </w:numPr>
              <w:spacing w:line="360" w:lineRule="auto"/>
              <w:rPr>
                <w:rFonts w:hint="default"/>
                <w:sz w:val="21"/>
                <w:szCs w:val="21"/>
                <w:lang w:val="en-US" w:eastAsia="zh-CN"/>
              </w:rPr>
            </w:pPr>
            <w:r>
              <w:rPr>
                <w:rFonts w:hint="eastAsia" w:ascii="宋体" w:hAnsi="宋体"/>
                <w:sz w:val="21"/>
                <w:szCs w:val="21"/>
              </w:rPr>
              <w:t>噪声排放</w:t>
            </w:r>
            <w:r>
              <w:rPr>
                <w:rFonts w:hint="eastAsia" w:ascii="宋体" w:hAnsi="宋体"/>
                <w:sz w:val="21"/>
                <w:szCs w:val="21"/>
                <w:lang w:eastAsia="zh-CN"/>
              </w:rPr>
              <w:t>：主要技术措施：1）选用低噪声生产设备；2）加装消音器；3）基础减震；4）厂房隔声</w:t>
            </w:r>
          </w:p>
          <w:p>
            <w:pPr>
              <w:spacing w:line="360" w:lineRule="auto"/>
              <w:rPr>
                <w:rFonts w:hint="eastAsia" w:ascii="宋体" w:hAnsi="宋体" w:eastAsia="宋体" w:cs="Times New Roman"/>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火灾：主要技术措施：1）公司设立员工专门吸烟场所，严禁生产车间和仓库明火；2）配备齐全的消防设施，定期检查；3）定期应急演练。</w:t>
            </w:r>
            <w:r>
              <w:rPr>
                <w:rFonts w:hint="eastAsia" w:ascii="宋体" w:hAnsi="宋体" w:cs="宋体"/>
                <w:sz w:val="21"/>
                <w:szCs w:val="21"/>
              </w:rPr>
              <w:t>执行部门：各部门，责任</w:t>
            </w:r>
            <w:r>
              <w:rPr>
                <w:rFonts w:hint="eastAsia" w:ascii="宋体" w:hAnsi="宋体" w:eastAsia="宋体" w:cs="Times New Roman"/>
                <w:sz w:val="21"/>
                <w:szCs w:val="21"/>
                <w:lang w:eastAsia="zh-CN"/>
              </w:rPr>
              <w:t>人：</w:t>
            </w:r>
            <w:r>
              <w:rPr>
                <w:rFonts w:hint="eastAsia" w:ascii="宋体" w:hAnsi="宋体" w:eastAsia="宋体" w:cs="Times New Roman"/>
                <w:sz w:val="21"/>
                <w:szCs w:val="21"/>
                <w:lang w:val="en-US" w:eastAsia="zh-CN"/>
              </w:rPr>
              <w:t xml:space="preserve">魏苹 </w:t>
            </w:r>
            <w:r>
              <w:rPr>
                <w:rFonts w:hint="eastAsia" w:ascii="宋体" w:hAnsi="宋体" w:eastAsia="宋体" w:cs="Times New Roman"/>
                <w:sz w:val="21"/>
                <w:szCs w:val="21"/>
                <w:lang w:eastAsia="zh-CN"/>
              </w:rPr>
              <w:t xml:space="preserve"> 执行日期：</w:t>
            </w:r>
            <w:r>
              <w:rPr>
                <w:rFonts w:hint="eastAsia" w:ascii="宋体" w:hAnsi="宋体" w:eastAsia="宋体" w:cs="Times New Roman"/>
                <w:sz w:val="21"/>
                <w:szCs w:val="21"/>
                <w:lang w:val="en-US" w:eastAsia="zh-CN"/>
              </w:rPr>
              <w:t>2021.8.2</w:t>
            </w:r>
            <w:r>
              <w:rPr>
                <w:rFonts w:hint="eastAsia" w:ascii="宋体" w:hAnsi="宋体" w:eastAsia="宋体" w:cs="Times New Roman"/>
                <w:sz w:val="21"/>
                <w:szCs w:val="21"/>
                <w:lang w:eastAsia="zh-CN"/>
              </w:rPr>
              <w:t>。</w:t>
            </w:r>
          </w:p>
          <w:p>
            <w:pPr>
              <w:spacing w:line="360" w:lineRule="auto"/>
              <w:rPr>
                <w:rFonts w:ascii="宋体" w:hAnsi="宋体" w:cs="宋体"/>
                <w:szCs w:val="21"/>
              </w:rPr>
            </w:pPr>
            <w:r>
              <w:rPr>
                <w:rFonts w:hint="eastAsia" w:ascii="宋体" w:hAnsi="宋体" w:eastAsia="宋体" w:cs="Times New Roman"/>
                <w:sz w:val="21"/>
                <w:szCs w:val="21"/>
                <w:lang w:eastAsia="zh-CN"/>
              </w:rPr>
              <w:t>上述目标、指标202</w:t>
            </w:r>
            <w:r>
              <w:rPr>
                <w:rFonts w:hint="eastAsia" w:ascii="宋体" w:hAnsi="宋体" w:eastAsia="宋体" w:cs="Times New Roman"/>
                <w:sz w:val="21"/>
                <w:szCs w:val="21"/>
                <w:lang w:val="en-US" w:eastAsia="zh-CN"/>
              </w:rPr>
              <w:t>1</w:t>
            </w:r>
            <w:r>
              <w:rPr>
                <w:rFonts w:hint="eastAsia" w:ascii="宋体" w:hAnsi="宋体" w:eastAsia="宋体" w:cs="Times New Roman"/>
                <w:sz w:val="21"/>
                <w:szCs w:val="21"/>
                <w:lang w:eastAsia="zh-CN"/>
              </w:rPr>
              <w:t>年</w:t>
            </w:r>
            <w:r>
              <w:rPr>
                <w:rFonts w:hint="eastAsia" w:ascii="宋体" w:hAnsi="宋体" w:eastAsia="宋体" w:cs="Times New Roman"/>
                <w:sz w:val="21"/>
                <w:szCs w:val="21"/>
                <w:lang w:val="en-US" w:eastAsia="zh-CN"/>
              </w:rPr>
              <w:t>8-11月份</w:t>
            </w:r>
            <w:r>
              <w:rPr>
                <w:rFonts w:hint="eastAsia" w:ascii="宋体" w:hAnsi="宋体" w:eastAsia="宋体" w:cs="Times New Roman"/>
                <w:sz w:val="21"/>
                <w:szCs w:val="21"/>
                <w:lang w:eastAsia="zh-CN"/>
              </w:rPr>
              <w:t>进行考核，考核结果：全部达标，检查人：</w:t>
            </w:r>
            <w:r>
              <w:rPr>
                <w:rFonts w:hint="eastAsia" w:ascii="宋体" w:hAnsi="宋体" w:eastAsia="宋体" w:cs="Times New Roman"/>
                <w:sz w:val="21"/>
                <w:szCs w:val="21"/>
                <w:lang w:val="en-US" w:eastAsia="zh-CN"/>
              </w:rPr>
              <w:t>魏苹</w:t>
            </w:r>
            <w:r>
              <w:rPr>
                <w:rFonts w:hint="eastAsia" w:ascii="宋体" w:hAnsi="宋体" w:eastAsia="宋体" w:cs="Times New Roman"/>
                <w:sz w:val="21"/>
                <w:szCs w:val="21"/>
                <w:lang w:eastAsia="zh-CN"/>
              </w:rPr>
              <w:t>。制定的指标和管理方案基本可行。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81" w:type="dxa"/>
          </w:tcPr>
          <w:p>
            <w:pPr>
              <w:adjustRightInd w:val="0"/>
              <w:snapToGrid w:val="0"/>
              <w:spacing w:line="360" w:lineRule="auto"/>
              <w:jc w:val="left"/>
              <w:rPr>
                <w:rFonts w:hint="eastAsia" w:ascii="宋体" w:hAnsi="宋体"/>
                <w:szCs w:val="21"/>
              </w:rPr>
            </w:pPr>
          </w:p>
          <w:p>
            <w:pPr>
              <w:adjustRightInd w:val="0"/>
              <w:snapToGrid w:val="0"/>
              <w:spacing w:line="360" w:lineRule="auto"/>
              <w:jc w:val="left"/>
              <w:rPr>
                <w:rFonts w:hint="eastAsia" w:ascii="宋体" w:hAnsi="宋体"/>
                <w:szCs w:val="21"/>
              </w:rPr>
            </w:pPr>
          </w:p>
          <w:p>
            <w:pPr>
              <w:adjustRightInd w:val="0"/>
              <w:snapToGrid w:val="0"/>
              <w:spacing w:line="360" w:lineRule="auto"/>
              <w:jc w:val="left"/>
              <w:rPr>
                <w:rFonts w:ascii="宋体" w:hAnsi="宋体"/>
                <w:szCs w:val="21"/>
              </w:rPr>
            </w:pPr>
            <w:r>
              <w:rPr>
                <w:rFonts w:hint="eastAsia" w:ascii="宋体" w:hAnsi="宋体"/>
                <w:szCs w:val="21"/>
              </w:rPr>
              <w:t>运行的策划与控制</w:t>
            </w:r>
          </w:p>
          <w:p>
            <w:pPr>
              <w:adjustRightInd w:val="0"/>
              <w:snapToGrid w:val="0"/>
              <w:spacing w:line="360" w:lineRule="auto"/>
              <w:jc w:val="left"/>
              <w:rPr>
                <w:rFonts w:ascii="宋体" w:hAnsi="宋体" w:cs="新宋体"/>
                <w:szCs w:val="21"/>
              </w:rPr>
            </w:pPr>
          </w:p>
        </w:tc>
        <w:tc>
          <w:tcPr>
            <w:tcW w:w="1139" w:type="dxa"/>
          </w:tcPr>
          <w:p>
            <w:pPr>
              <w:adjustRightInd w:val="0"/>
              <w:snapToGrid w:val="0"/>
              <w:spacing w:line="360" w:lineRule="auto"/>
              <w:rPr>
                <w:rFonts w:hint="eastAsia" w:ascii="宋体" w:hAnsi="宋体"/>
                <w:szCs w:val="21"/>
              </w:rPr>
            </w:pPr>
          </w:p>
          <w:p>
            <w:pPr>
              <w:adjustRightInd w:val="0"/>
              <w:snapToGrid w:val="0"/>
              <w:spacing w:line="360" w:lineRule="auto"/>
              <w:rPr>
                <w:rFonts w:hint="eastAsia" w:ascii="宋体" w:hAnsi="宋体"/>
                <w:szCs w:val="21"/>
              </w:rPr>
            </w:pPr>
          </w:p>
          <w:p>
            <w:pPr>
              <w:adjustRightInd w:val="0"/>
              <w:snapToGrid w:val="0"/>
              <w:spacing w:line="360" w:lineRule="auto"/>
              <w:rPr>
                <w:rFonts w:ascii="宋体" w:hAnsi="宋体"/>
                <w:szCs w:val="21"/>
              </w:rPr>
            </w:pPr>
            <w:r>
              <w:rPr>
                <w:rFonts w:hint="eastAsia" w:ascii="宋体" w:hAnsi="宋体"/>
                <w:szCs w:val="21"/>
                <w:lang w:eastAsia="zh-CN"/>
              </w:rPr>
              <w:t>E</w:t>
            </w:r>
            <w:r>
              <w:rPr>
                <w:rFonts w:hint="eastAsia" w:ascii="宋体" w:hAnsi="宋体"/>
                <w:szCs w:val="21"/>
                <w:lang w:val="en-US" w:eastAsia="zh-CN"/>
              </w:rPr>
              <w:t>:</w:t>
            </w:r>
            <w:r>
              <w:rPr>
                <w:rFonts w:hint="eastAsia" w:ascii="宋体" w:hAnsi="宋体"/>
                <w:szCs w:val="21"/>
              </w:rPr>
              <w:t>8.1</w:t>
            </w:r>
          </w:p>
          <w:p>
            <w:pPr>
              <w:spacing w:line="360" w:lineRule="auto"/>
              <w:rPr>
                <w:rFonts w:ascii="宋体" w:hAnsi="宋体" w:cs="新宋体"/>
                <w:szCs w:val="21"/>
              </w:rPr>
            </w:pPr>
          </w:p>
        </w:tc>
        <w:tc>
          <w:tcPr>
            <w:tcW w:w="10004" w:type="dxa"/>
          </w:tcPr>
          <w:p>
            <w:pPr>
              <w:spacing w:line="360" w:lineRule="auto"/>
            </w:pPr>
            <w:r>
              <w:rPr>
                <w:rFonts w:hint="eastAsia"/>
              </w:rPr>
              <w:t>◆组织制定了环境、职业健康安全运行相关的控制程序及相应的控制准则，如废弃物排放控制、相关方环境安全管理办法、劳保用品管理制度、消防管理制度、火灾预防应急准备和响应管理等过程的运行准则。</w:t>
            </w:r>
          </w:p>
          <w:p>
            <w:pPr>
              <w:spacing w:line="360" w:lineRule="auto"/>
            </w:pPr>
            <w:r>
              <w:rPr>
                <w:rFonts w:hint="eastAsia"/>
              </w:rPr>
              <w:t xml:space="preserve"> ◆根据过程的运行准则，组织实施资源能源的消耗控制火灾预防、职业健康安全事故防范等过程的控制，避免和减少了环境职业健康安全的损失。</w:t>
            </w:r>
          </w:p>
          <w:p>
            <w:pPr>
              <w:spacing w:line="360" w:lineRule="auto"/>
            </w:pPr>
            <w:r>
              <w:rPr>
                <w:rFonts w:hint="eastAsia"/>
              </w:rPr>
              <w:t xml:space="preserve"> ◆消防设施检查、节能降耗运行检查、火灾预防运行检查、安全环境检查等关键运行控制信息的证据都以记录或文件的方式保留。</w:t>
            </w:r>
          </w:p>
          <w:p>
            <w:pPr>
              <w:spacing w:line="360" w:lineRule="auto"/>
            </w:pPr>
            <w:r>
              <w:rPr>
                <w:rFonts w:hint="eastAsia"/>
              </w:rPr>
              <w:t xml:space="preserve"> ◆抽查环境运行的策划与控制实施</w:t>
            </w:r>
          </w:p>
          <w:p>
            <w:pPr>
              <w:spacing w:line="360" w:lineRule="auto"/>
              <w:rPr>
                <w:rFonts w:hint="default" w:eastAsia="宋体"/>
                <w:sz w:val="21"/>
                <w:szCs w:val="21"/>
                <w:lang w:val="en-US" w:eastAsia="zh-CN"/>
              </w:rPr>
            </w:pPr>
            <w:r>
              <w:rPr>
                <w:rFonts w:hint="eastAsia"/>
                <w:sz w:val="21"/>
                <w:szCs w:val="21"/>
              </w:rPr>
              <w:t>1、废水管控：出版物、包装装潢印刷品、其他印刷品的印刷</w:t>
            </w:r>
            <w:r>
              <w:rPr>
                <w:rFonts w:hint="eastAsia"/>
                <w:sz w:val="21"/>
                <w:szCs w:val="21"/>
                <w:lang w:val="en-US" w:eastAsia="zh-CN"/>
              </w:rPr>
              <w:t>中，有清洗废水，不外排。回收洗版液重复利用，最终废液统一收集，交由有资质的单位统一回收处理；</w:t>
            </w:r>
          </w:p>
          <w:p>
            <w:pPr>
              <w:spacing w:line="360" w:lineRule="auto"/>
              <w:rPr>
                <w:rFonts w:hint="eastAsia"/>
                <w:color w:val="000000"/>
                <w:spacing w:val="0"/>
                <w:w w:val="100"/>
                <w:position w:val="0"/>
                <w:sz w:val="21"/>
                <w:szCs w:val="21"/>
                <w:lang w:eastAsia="zh-CN"/>
              </w:rPr>
            </w:pPr>
            <w:r>
              <w:rPr>
                <w:rFonts w:hint="eastAsia"/>
                <w:sz w:val="21"/>
                <w:szCs w:val="21"/>
              </w:rPr>
              <w:t>2、废气管控：</w:t>
            </w:r>
            <w:r>
              <w:rPr>
                <w:color w:val="000000"/>
                <w:spacing w:val="0"/>
                <w:w w:val="100"/>
                <w:position w:val="0"/>
                <w:sz w:val="21"/>
                <w:szCs w:val="21"/>
              </w:rPr>
              <w:t>在印刷、清洗过程产生的有机废气，</w:t>
            </w:r>
            <w:r>
              <w:rPr>
                <w:rFonts w:hint="eastAsia"/>
                <w:color w:val="000000"/>
                <w:spacing w:val="0"/>
                <w:w w:val="100"/>
                <w:position w:val="0"/>
                <w:sz w:val="21"/>
                <w:szCs w:val="21"/>
                <w:lang w:val="en-US" w:eastAsia="zh-CN"/>
              </w:rPr>
              <w:t>采用</w:t>
            </w:r>
            <w:r>
              <w:rPr>
                <w:color w:val="000000"/>
                <w:spacing w:val="0"/>
                <w:w w:val="100"/>
                <w:position w:val="0"/>
                <w:sz w:val="21"/>
                <w:szCs w:val="21"/>
                <w:lang w:val="zh-CN" w:eastAsia="zh-CN" w:bidi="zh-CN"/>
              </w:rPr>
              <w:t>活</w:t>
            </w:r>
            <w:r>
              <w:rPr>
                <w:rFonts w:hint="eastAsia"/>
                <w:color w:val="000000"/>
                <w:spacing w:val="0"/>
                <w:w w:val="100"/>
                <w:position w:val="0"/>
                <w:sz w:val="21"/>
                <w:szCs w:val="21"/>
              </w:rPr>
              <w:t>喷（烤）房VOCS（挥发性有机物）综合治理设备</w:t>
            </w:r>
            <w:r>
              <w:rPr>
                <w:color w:val="000000"/>
                <w:spacing w:val="0"/>
                <w:w w:val="100"/>
                <w:position w:val="0"/>
                <w:sz w:val="21"/>
                <w:szCs w:val="21"/>
              </w:rPr>
              <w:t>，根据设备 分布情况、产生废气的工位大小、 集气风速，废气经处理后通 过高排气筒</w:t>
            </w:r>
            <w:r>
              <w:rPr>
                <w:rFonts w:hint="eastAsia"/>
                <w:color w:val="000000"/>
                <w:spacing w:val="0"/>
                <w:w w:val="100"/>
                <w:position w:val="0"/>
                <w:sz w:val="21"/>
                <w:szCs w:val="21"/>
                <w:lang w:val="en-US" w:eastAsia="zh-CN"/>
              </w:rPr>
              <w:t>达标</w:t>
            </w:r>
            <w:r>
              <w:rPr>
                <w:color w:val="000000"/>
                <w:spacing w:val="0"/>
                <w:w w:val="100"/>
                <w:position w:val="0"/>
                <w:sz w:val="21"/>
                <w:szCs w:val="21"/>
              </w:rPr>
              <w:t>排放</w:t>
            </w:r>
            <w:r>
              <w:rPr>
                <w:rFonts w:hint="eastAsia"/>
                <w:color w:val="000000"/>
                <w:spacing w:val="0"/>
                <w:w w:val="100"/>
                <w:position w:val="0"/>
                <w:sz w:val="21"/>
                <w:szCs w:val="21"/>
                <w:lang w:eastAsia="zh-CN"/>
              </w:rPr>
              <w:t>。</w:t>
            </w:r>
          </w:p>
          <w:p>
            <w:pPr>
              <w:pStyle w:val="2"/>
              <w:rPr>
                <w:rFonts w:hint="default"/>
                <w:color w:val="000000"/>
                <w:spacing w:val="0"/>
                <w:w w:val="100"/>
                <w:position w:val="0"/>
                <w:sz w:val="21"/>
                <w:szCs w:val="21"/>
                <w:lang w:val="en-US" w:eastAsia="zh-CN"/>
              </w:rPr>
            </w:pPr>
            <w:r>
              <w:rPr>
                <w:rFonts w:hint="eastAsia"/>
                <w:color w:val="000000"/>
                <w:spacing w:val="0"/>
                <w:w w:val="100"/>
                <w:position w:val="0"/>
                <w:sz w:val="21"/>
                <w:szCs w:val="21"/>
                <w:lang w:eastAsia="zh-CN"/>
              </w:rPr>
              <w:drawing>
                <wp:inline distT="0" distB="0" distL="114300" distR="114300">
                  <wp:extent cx="2820670" cy="2115185"/>
                  <wp:effectExtent l="0" t="0" r="11430" b="5715"/>
                  <wp:docPr id="2" name="图片 2" descr="c958ed2e468b5187300a8059dd02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958ed2e468b5187300a8059dd0238f"/>
                          <pic:cNvPicPr>
                            <a:picLocks noChangeAspect="1"/>
                          </pic:cNvPicPr>
                        </pic:nvPicPr>
                        <pic:blipFill>
                          <a:blip r:embed="rId6"/>
                          <a:stretch>
                            <a:fillRect/>
                          </a:stretch>
                        </pic:blipFill>
                        <pic:spPr>
                          <a:xfrm>
                            <a:off x="0" y="0"/>
                            <a:ext cx="2820670" cy="2115185"/>
                          </a:xfrm>
                          <a:prstGeom prst="rect">
                            <a:avLst/>
                          </a:prstGeom>
                        </pic:spPr>
                      </pic:pic>
                    </a:graphicData>
                  </a:graphic>
                </wp:inline>
              </w:drawing>
            </w:r>
            <w:r>
              <w:rPr>
                <w:rFonts w:hint="eastAsia"/>
                <w:color w:val="000000"/>
                <w:spacing w:val="0"/>
                <w:w w:val="100"/>
                <w:position w:val="0"/>
                <w:sz w:val="21"/>
                <w:szCs w:val="21"/>
                <w:lang w:val="en-US" w:eastAsia="zh-CN"/>
              </w:rPr>
              <w:t xml:space="preserve"> </w:t>
            </w:r>
            <w:r>
              <w:rPr>
                <w:rFonts w:hint="default"/>
                <w:color w:val="000000"/>
                <w:spacing w:val="0"/>
                <w:w w:val="100"/>
                <w:position w:val="0"/>
                <w:sz w:val="21"/>
                <w:szCs w:val="21"/>
                <w:lang w:val="en-US" w:eastAsia="zh-CN"/>
              </w:rPr>
              <w:drawing>
                <wp:inline distT="0" distB="0" distL="114300" distR="114300">
                  <wp:extent cx="2810510" cy="2107565"/>
                  <wp:effectExtent l="0" t="0" r="8890" b="635"/>
                  <wp:docPr id="3" name="图片 3" descr="ce15b43fcc28e285c09056612ec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e15b43fcc28e285c09056612ec8071"/>
                          <pic:cNvPicPr>
                            <a:picLocks noChangeAspect="1"/>
                          </pic:cNvPicPr>
                        </pic:nvPicPr>
                        <pic:blipFill>
                          <a:blip r:embed="rId7"/>
                          <a:stretch>
                            <a:fillRect/>
                          </a:stretch>
                        </pic:blipFill>
                        <pic:spPr>
                          <a:xfrm>
                            <a:off x="0" y="0"/>
                            <a:ext cx="2810510" cy="2107565"/>
                          </a:xfrm>
                          <a:prstGeom prst="rect">
                            <a:avLst/>
                          </a:prstGeom>
                        </pic:spPr>
                      </pic:pic>
                    </a:graphicData>
                  </a:graphic>
                </wp:inline>
              </w:drawing>
            </w: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val="en-US" w:eastAsia="zh-CN"/>
              </w:rPr>
            </w:pPr>
            <w:r>
              <w:rPr>
                <w:rFonts w:hint="eastAsia"/>
                <w:color w:val="000000"/>
                <w:spacing w:val="0"/>
                <w:w w:val="100"/>
                <w:position w:val="0"/>
                <w:sz w:val="21"/>
                <w:szCs w:val="21"/>
                <w:lang w:val="en-US" w:eastAsia="zh-CN"/>
              </w:rPr>
              <w:t>2022年2月21日由第三方检测机构对噪声、无组织气体、</w:t>
            </w:r>
          </w:p>
          <w:p>
            <w:pPr>
              <w:pStyle w:val="2"/>
              <w:rPr>
                <w:rFonts w:hint="default"/>
                <w:color w:val="000000"/>
                <w:spacing w:val="0"/>
                <w:w w:val="100"/>
                <w:position w:val="0"/>
                <w:sz w:val="21"/>
                <w:szCs w:val="21"/>
                <w:lang w:val="en-US" w:eastAsia="zh-CN"/>
              </w:rPr>
            </w:pPr>
            <w:r>
              <w:rPr>
                <w:rFonts w:hint="eastAsia"/>
                <w:color w:val="000000"/>
                <w:spacing w:val="0"/>
                <w:w w:val="100"/>
                <w:position w:val="0"/>
                <w:sz w:val="21"/>
                <w:szCs w:val="21"/>
                <w:lang w:eastAsia="zh-CN"/>
              </w:rPr>
              <w:drawing>
                <wp:anchor distT="0" distB="0" distL="114300" distR="114300" simplePos="0" relativeHeight="251660288" behindDoc="0" locked="0" layoutInCell="1" allowOverlap="1">
                  <wp:simplePos x="0" y="0"/>
                  <wp:positionH relativeFrom="column">
                    <wp:posOffset>3998595</wp:posOffset>
                  </wp:positionH>
                  <wp:positionV relativeFrom="paragraph">
                    <wp:posOffset>53340</wp:posOffset>
                  </wp:positionV>
                  <wp:extent cx="1877695" cy="2503805"/>
                  <wp:effectExtent l="0" t="0" r="1905" b="10795"/>
                  <wp:wrapNone/>
                  <wp:docPr id="1" name="图片 1" descr="498cde0000e8aa7088f7044b98c8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8cde0000e8aa7088f7044b98c8cce"/>
                          <pic:cNvPicPr>
                            <a:picLocks noChangeAspect="1"/>
                          </pic:cNvPicPr>
                        </pic:nvPicPr>
                        <pic:blipFill>
                          <a:blip r:embed="rId8"/>
                          <a:stretch>
                            <a:fillRect/>
                          </a:stretch>
                        </pic:blipFill>
                        <pic:spPr>
                          <a:xfrm>
                            <a:off x="0" y="0"/>
                            <a:ext cx="1877695" cy="2503805"/>
                          </a:xfrm>
                          <a:prstGeom prst="rect">
                            <a:avLst/>
                          </a:prstGeom>
                        </pic:spPr>
                      </pic:pic>
                    </a:graphicData>
                  </a:graphic>
                </wp:anchor>
              </w:drawing>
            </w:r>
            <w:r>
              <w:rPr>
                <w:rFonts w:hint="eastAsia"/>
                <w:color w:val="000000"/>
                <w:spacing w:val="0"/>
                <w:w w:val="100"/>
                <w:position w:val="0"/>
                <w:sz w:val="21"/>
                <w:szCs w:val="21"/>
                <w:lang w:eastAsia="zh-CN"/>
              </w:rPr>
              <w:drawing>
                <wp:anchor distT="0" distB="0" distL="114300" distR="114300" simplePos="0" relativeHeight="251661312" behindDoc="0" locked="0" layoutInCell="1" allowOverlap="1">
                  <wp:simplePos x="0" y="0"/>
                  <wp:positionH relativeFrom="column">
                    <wp:posOffset>1860550</wp:posOffset>
                  </wp:positionH>
                  <wp:positionV relativeFrom="paragraph">
                    <wp:posOffset>45085</wp:posOffset>
                  </wp:positionV>
                  <wp:extent cx="1884680" cy="2513965"/>
                  <wp:effectExtent l="0" t="0" r="7620" b="635"/>
                  <wp:wrapNone/>
                  <wp:docPr id="27" name="图片 27" descr="7582d93476ecd7ed890b0161a28d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582d93476ecd7ed890b0161a28db2d"/>
                          <pic:cNvPicPr>
                            <a:picLocks noChangeAspect="1"/>
                          </pic:cNvPicPr>
                        </pic:nvPicPr>
                        <pic:blipFill>
                          <a:blip r:embed="rId9"/>
                          <a:stretch>
                            <a:fillRect/>
                          </a:stretch>
                        </pic:blipFill>
                        <pic:spPr>
                          <a:xfrm>
                            <a:off x="0" y="0"/>
                            <a:ext cx="1884680" cy="2513965"/>
                          </a:xfrm>
                          <a:prstGeom prst="rect">
                            <a:avLst/>
                          </a:prstGeom>
                        </pic:spPr>
                      </pic:pic>
                    </a:graphicData>
                  </a:graphic>
                </wp:anchor>
              </w:drawing>
            </w:r>
            <w:r>
              <w:rPr>
                <w:rFonts w:hint="eastAsia"/>
                <w:color w:val="000000"/>
                <w:spacing w:val="0"/>
                <w:w w:val="100"/>
                <w:position w:val="0"/>
                <w:sz w:val="21"/>
                <w:szCs w:val="21"/>
                <w:lang w:val="en-US" w:eastAsia="zh-CN"/>
              </w:rPr>
              <w:t>有组织气体排放进行了检测：</w:t>
            </w: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spacing w:line="360" w:lineRule="auto"/>
              <w:rPr>
                <w:rFonts w:hint="eastAsia"/>
                <w:sz w:val="21"/>
                <w:szCs w:val="21"/>
              </w:rPr>
            </w:pPr>
            <w:r>
              <w:rPr>
                <w:rFonts w:hint="eastAsia"/>
                <w:sz w:val="21"/>
                <w:szCs w:val="21"/>
              </w:rPr>
              <w:t>3、噪声管控：</w:t>
            </w:r>
          </w:p>
          <w:p>
            <w:pPr>
              <w:spacing w:line="360" w:lineRule="auto"/>
              <w:rPr>
                <w:rFonts w:hint="eastAsia"/>
                <w:sz w:val="21"/>
                <w:szCs w:val="21"/>
              </w:rPr>
            </w:pPr>
            <w:r>
              <w:rPr>
                <w:rFonts w:hint="eastAsia"/>
                <w:sz w:val="21"/>
                <w:szCs w:val="21"/>
              </w:rPr>
              <w:t>生产过程</w:t>
            </w:r>
            <w:r>
              <w:rPr>
                <w:rFonts w:hint="eastAsia" w:ascii="宋体" w:hAnsi="宋体"/>
                <w:sz w:val="21"/>
                <w:szCs w:val="21"/>
                <w:lang w:val="en-US" w:eastAsia="zh-CN"/>
              </w:rPr>
              <w:t>印刷机、模切机、切纸机、惠普广告机、彩色数码打印机等</w:t>
            </w:r>
            <w:r>
              <w:rPr>
                <w:rFonts w:hint="eastAsia"/>
                <w:sz w:val="21"/>
                <w:szCs w:val="21"/>
              </w:rPr>
              <w:t>产生噪声，采取厂房内操作和选用低噪声的设备和工具、减震装置，同时加强设备的检查和维保，确保机械设备在正常工况下运行，其他工序基本无噪声。</w:t>
            </w:r>
          </w:p>
          <w:p>
            <w:pPr>
              <w:spacing w:line="360" w:lineRule="auto"/>
              <w:rPr>
                <w:rFonts w:hint="eastAsia" w:ascii="Times New Roman" w:hAnsi="Times New Roman" w:eastAsia="宋体" w:cs="Times New Roman"/>
                <w:sz w:val="21"/>
                <w:szCs w:val="21"/>
              </w:rPr>
            </w:pPr>
            <w:r>
              <w:rPr>
                <w:rFonts w:hint="eastAsia"/>
                <w:color w:val="auto"/>
                <w:sz w:val="21"/>
                <w:szCs w:val="21"/>
              </w:rPr>
              <w:t>4、固废</w:t>
            </w:r>
            <w:r>
              <w:rPr>
                <w:rFonts w:hint="eastAsia" w:ascii="Times New Roman" w:hAnsi="Times New Roman" w:eastAsia="宋体" w:cs="Times New Roman"/>
                <w:sz w:val="21"/>
                <w:szCs w:val="21"/>
              </w:rPr>
              <w:t>管控：</w:t>
            </w:r>
          </w:p>
          <w:p>
            <w:pPr>
              <w:spacing w:line="360" w:lineRule="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（1）危废：</w:t>
            </w:r>
            <w:r>
              <w:rPr>
                <w:rFonts w:hint="eastAsia" w:ascii="Times New Roman" w:hAnsi="Times New Roman" w:eastAsia="宋体" w:cs="Times New Roman"/>
                <w:sz w:val="21"/>
                <w:szCs w:val="21"/>
              </w:rPr>
              <w:t>生产过程中主要</w:t>
            </w:r>
            <w:r>
              <w:rPr>
                <w:rFonts w:hint="eastAsia" w:ascii="Times New Roman" w:hAnsi="Times New Roman" w:eastAsia="宋体" w:cs="Times New Roman"/>
                <w:sz w:val="21"/>
                <w:szCs w:val="21"/>
                <w:lang w:val="en-US" w:eastAsia="zh-CN"/>
              </w:rPr>
              <w:t>废油桶、废清洗液、废抹布手套、废油墨桶等</w:t>
            </w:r>
            <w:r>
              <w:rPr>
                <w:rFonts w:hint="eastAsia" w:ascii="Times New Roman" w:hAnsi="Times New Roman" w:eastAsia="宋体" w:cs="Times New Roman"/>
                <w:sz w:val="21"/>
                <w:szCs w:val="21"/>
              </w:rPr>
              <w:t>须交由取得相应危险废物经营许可证的单 位集中处置。</w:t>
            </w:r>
          </w:p>
          <w:p>
            <w:pPr>
              <w:spacing w:line="360" w:lineRule="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查与甘肃省危险废物处理中心签订的《危险废物委托处置协议》，202</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月9日续签</w:t>
            </w:r>
            <w:r>
              <w:rPr>
                <w:rFonts w:hint="eastAsia" w:ascii="Times New Roman" w:hAnsi="Times New Roman" w:eastAsia="宋体" w:cs="Times New Roman"/>
                <w:color w:val="auto"/>
                <w:sz w:val="21"/>
                <w:szCs w:val="21"/>
              </w:rPr>
              <w:t>。</w:t>
            </w:r>
          </w:p>
          <w:p>
            <w:pPr>
              <w:spacing w:line="360" w:lineRule="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查转移记录：</w:t>
            </w:r>
            <w:r>
              <w:rPr>
                <w:rFonts w:hint="eastAsia" w:cs="Times New Roman"/>
                <w:sz w:val="21"/>
                <w:szCs w:val="21"/>
                <w:lang w:val="en-US" w:eastAsia="zh-CN"/>
              </w:rPr>
              <w:t>近一年未发生转移，均存储在危废仓库：</w:t>
            </w:r>
          </w:p>
          <w:p>
            <w:pPr>
              <w:spacing w:line="360" w:lineRule="auto"/>
              <w:rPr>
                <w:rFonts w:hint="eastAsia"/>
                <w:lang w:eastAsia="zh-CN"/>
              </w:rPr>
            </w:pPr>
            <w:r>
              <w:rPr>
                <w:rFonts w:hint="eastAsia" w:ascii="Times New Roman" w:hAnsi="Times New Roman" w:eastAsia="宋体" w:cs="Times New Roman"/>
                <w:sz w:val="21"/>
                <w:szCs w:val="21"/>
                <w:lang w:val="en-US" w:eastAsia="zh-CN"/>
              </w:rPr>
              <w:t>现场设置有危废暂存间</w:t>
            </w:r>
            <w:r>
              <w:rPr>
                <w:rFonts w:hint="eastAsia"/>
                <w:lang w:eastAsia="zh-CN"/>
              </w:rPr>
              <w:t>：</w:t>
            </w:r>
          </w:p>
          <w:p>
            <w:pPr>
              <w:pStyle w:val="2"/>
              <w:rPr>
                <w:rFonts w:hint="default"/>
                <w:lang w:val="en-US" w:eastAsia="zh-CN"/>
              </w:rPr>
            </w:pPr>
            <w:r>
              <w:rPr>
                <w:rFonts w:hint="eastAsia"/>
                <w:lang w:eastAsia="zh-CN"/>
              </w:rPr>
              <w:drawing>
                <wp:inline distT="0" distB="0" distL="114300" distR="114300">
                  <wp:extent cx="2791460" cy="2092960"/>
                  <wp:effectExtent l="0" t="0" r="2540" b="2540"/>
                  <wp:docPr id="5" name="图片 5" descr="0a528f68d0da766e73d3e4b3a6a4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a528f68d0da766e73d3e4b3a6a4cbe"/>
                          <pic:cNvPicPr>
                            <a:picLocks noChangeAspect="1"/>
                          </pic:cNvPicPr>
                        </pic:nvPicPr>
                        <pic:blipFill>
                          <a:blip r:embed="rId10"/>
                          <a:stretch>
                            <a:fillRect/>
                          </a:stretch>
                        </pic:blipFill>
                        <pic:spPr>
                          <a:xfrm>
                            <a:off x="0" y="0"/>
                            <a:ext cx="2791460" cy="209296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784475" cy="2087880"/>
                  <wp:effectExtent l="0" t="0" r="9525" b="7620"/>
                  <wp:docPr id="6" name="图片 6" descr="5bffc104e081a8ddb5d7e7839599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ffc104e081a8ddb5d7e7839599ab1"/>
                          <pic:cNvPicPr>
                            <a:picLocks noChangeAspect="1"/>
                          </pic:cNvPicPr>
                        </pic:nvPicPr>
                        <pic:blipFill>
                          <a:blip r:embed="rId11"/>
                          <a:stretch>
                            <a:fillRect/>
                          </a:stretch>
                        </pic:blipFill>
                        <pic:spPr>
                          <a:xfrm>
                            <a:off x="0" y="0"/>
                            <a:ext cx="2784475" cy="2087880"/>
                          </a:xfrm>
                          <a:prstGeom prst="rect">
                            <a:avLst/>
                          </a:prstGeom>
                        </pic:spPr>
                      </pic:pic>
                    </a:graphicData>
                  </a:graphic>
                </wp:inline>
              </w:drawing>
            </w:r>
          </w:p>
          <w:p>
            <w:pPr>
              <w:pStyle w:val="2"/>
              <w:rPr>
                <w:rFonts w:hint="eastAsia"/>
                <w:lang w:eastAsia="zh-CN"/>
              </w:rPr>
            </w:pPr>
          </w:p>
          <w:p>
            <w:pPr>
              <w:pStyle w:val="2"/>
              <w:rPr>
                <w:rFonts w:hint="eastAsia"/>
                <w:lang w:eastAsia="zh-CN"/>
              </w:rPr>
            </w:pPr>
          </w:p>
          <w:p>
            <w:pPr>
              <w:pStyle w:val="2"/>
              <w:rPr>
                <w:rFonts w:hint="default"/>
                <w:lang w:val="en-US" w:eastAsia="zh-CN"/>
              </w:rPr>
            </w:pPr>
            <w:r>
              <w:rPr>
                <w:rFonts w:hint="eastAsia"/>
                <w:lang w:eastAsia="zh-CN"/>
              </w:rPr>
              <w:drawing>
                <wp:inline distT="0" distB="0" distL="114300" distR="114300">
                  <wp:extent cx="2768600" cy="2076450"/>
                  <wp:effectExtent l="0" t="0" r="0" b="6350"/>
                  <wp:docPr id="7" name="图片 7" descr="a387aa853ce28286cb854b0db9a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87aa853ce28286cb854b0db9a2760"/>
                          <pic:cNvPicPr>
                            <a:picLocks noChangeAspect="1"/>
                          </pic:cNvPicPr>
                        </pic:nvPicPr>
                        <pic:blipFill>
                          <a:blip r:embed="rId12"/>
                          <a:stretch>
                            <a:fillRect/>
                          </a:stretch>
                        </pic:blipFill>
                        <pic:spPr>
                          <a:xfrm>
                            <a:off x="0" y="0"/>
                            <a:ext cx="2768600" cy="207645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752725" cy="2064385"/>
                  <wp:effectExtent l="0" t="0" r="3175" b="5715"/>
                  <wp:docPr id="8" name="图片 8" descr="be21acb88a804c80f7b01e8efcf4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e21acb88a804c80f7b01e8efcf4c1a"/>
                          <pic:cNvPicPr>
                            <a:picLocks noChangeAspect="1"/>
                          </pic:cNvPicPr>
                        </pic:nvPicPr>
                        <pic:blipFill>
                          <a:blip r:embed="rId13"/>
                          <a:stretch>
                            <a:fillRect/>
                          </a:stretch>
                        </pic:blipFill>
                        <pic:spPr>
                          <a:xfrm>
                            <a:off x="0" y="0"/>
                            <a:ext cx="2752725" cy="2064385"/>
                          </a:xfrm>
                          <a:prstGeom prst="rect">
                            <a:avLst/>
                          </a:prstGeom>
                        </pic:spPr>
                      </pic:pic>
                    </a:graphicData>
                  </a:graphic>
                </wp:inline>
              </w:drawing>
            </w:r>
          </w:p>
          <w:p>
            <w:pPr>
              <w:pStyle w:val="2"/>
              <w:rPr>
                <w:rFonts w:hint="eastAsia"/>
                <w:lang w:eastAsia="zh-CN"/>
              </w:rPr>
            </w:pPr>
          </w:p>
          <w:p>
            <w:pPr>
              <w:spacing w:line="360" w:lineRule="auto"/>
              <w:rPr>
                <w:rFonts w:hint="eastAsia" w:cs="Times New Roman"/>
                <w:lang w:val="en-US" w:eastAsia="zh-CN"/>
              </w:rPr>
            </w:pPr>
            <w:r>
              <w:rPr>
                <w:rFonts w:hint="eastAsia" w:cs="Times New Roman"/>
                <w:lang w:val="en-US" w:eastAsia="zh-CN"/>
              </w:rPr>
              <w:t>企业于2022年2月14日在甘肃省固废管理系统中提交危废转移申请</w:t>
            </w:r>
          </w:p>
          <w:p>
            <w:pPr>
              <w:spacing w:line="360" w:lineRule="auto"/>
              <w:rPr>
                <w:rFonts w:hint="eastAsia" w:ascii="Times New Roman" w:hAnsi="Times New Roman" w:eastAsia="宋体" w:cs="Times New Roman"/>
                <w:lang w:val="en-US" w:eastAsia="zh-CN"/>
              </w:rPr>
            </w:pPr>
            <w:r>
              <w:rPr>
                <w:rFonts w:hint="eastAsia" w:cs="Times New Roman"/>
                <w:lang w:val="en-US" w:eastAsia="zh-CN"/>
              </w:rPr>
              <w:t>2022年2月22日由</w:t>
            </w:r>
            <w:r>
              <w:rPr>
                <w:rFonts w:hint="eastAsia" w:ascii="Times New Roman" w:hAnsi="Times New Roman" w:eastAsia="宋体" w:cs="Times New Roman"/>
                <w:color w:val="auto"/>
                <w:sz w:val="21"/>
                <w:szCs w:val="21"/>
                <w:lang w:val="en-US" w:eastAsia="zh-CN"/>
              </w:rPr>
              <w:t>甘肃省危险废物处理中心</w:t>
            </w:r>
            <w:r>
              <w:rPr>
                <w:rFonts w:hint="eastAsia" w:cs="Times New Roman"/>
                <w:color w:val="auto"/>
                <w:sz w:val="21"/>
                <w:szCs w:val="21"/>
                <w:lang w:val="en-US" w:eastAsia="zh-CN"/>
              </w:rPr>
              <w:t>委派了专车进行了清运：</w:t>
            </w:r>
          </w:p>
          <w:p>
            <w:pPr>
              <w:pStyle w:val="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4293235" cy="1664970"/>
                  <wp:effectExtent l="0" t="0" r="12065" b="11430"/>
                  <wp:docPr id="9" name="图片 9" descr="93b87cb9798952e13364d8bfa49a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3b87cb9798952e13364d8bfa49a9d4"/>
                          <pic:cNvPicPr>
                            <a:picLocks noChangeAspect="1"/>
                          </pic:cNvPicPr>
                        </pic:nvPicPr>
                        <pic:blipFill>
                          <a:blip r:embed="rId14"/>
                          <a:stretch>
                            <a:fillRect/>
                          </a:stretch>
                        </pic:blipFill>
                        <pic:spPr>
                          <a:xfrm>
                            <a:off x="0" y="0"/>
                            <a:ext cx="4293235" cy="1664970"/>
                          </a:xfrm>
                          <a:prstGeom prst="rect">
                            <a:avLst/>
                          </a:prstGeom>
                        </pic:spPr>
                      </pic:pic>
                    </a:graphicData>
                  </a:graphic>
                </wp:inline>
              </w:drawing>
            </w:r>
          </w:p>
          <w:p>
            <w:pPr>
              <w:pStyle w:val="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2898775" cy="2175510"/>
                  <wp:effectExtent l="0" t="0" r="9525" b="8890"/>
                  <wp:docPr id="10" name="图片 10" descr="80b5efb241a10b103cff946496c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b5efb241a10b103cff946496c6666"/>
                          <pic:cNvPicPr>
                            <a:picLocks noChangeAspect="1"/>
                          </pic:cNvPicPr>
                        </pic:nvPicPr>
                        <pic:blipFill>
                          <a:blip r:embed="rId15"/>
                          <a:stretch>
                            <a:fillRect/>
                          </a:stretch>
                        </pic:blipFill>
                        <pic:spPr>
                          <a:xfrm>
                            <a:off x="0" y="0"/>
                            <a:ext cx="2898775" cy="2175510"/>
                          </a:xfrm>
                          <a:prstGeom prst="rect">
                            <a:avLst/>
                          </a:prstGeom>
                        </pic:spPr>
                      </pic:pic>
                    </a:graphicData>
                  </a:graphic>
                </wp:inline>
              </w:drawing>
            </w:r>
            <w:r>
              <w:rPr>
                <w:rFonts w:hint="eastAsia" w:cs="Times New Roman"/>
                <w:lang w:val="en-US" w:eastAsia="zh-CN"/>
              </w:rPr>
              <w:t xml:space="preserve"> </w:t>
            </w:r>
            <w:r>
              <w:rPr>
                <w:rFonts w:hint="default" w:ascii="Times New Roman" w:hAnsi="Times New Roman" w:eastAsia="宋体" w:cs="Times New Roman"/>
                <w:lang w:val="en-US" w:eastAsia="zh-CN"/>
              </w:rPr>
              <w:drawing>
                <wp:inline distT="0" distB="0" distL="114300" distR="114300">
                  <wp:extent cx="2927350" cy="2197100"/>
                  <wp:effectExtent l="0" t="0" r="6350" b="0"/>
                  <wp:docPr id="11" name="图片 11" descr="ffbd299c5c7f2ab81d114c6acb2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fbd299c5c7f2ab81d114c6acb24116"/>
                          <pic:cNvPicPr>
                            <a:picLocks noChangeAspect="1"/>
                          </pic:cNvPicPr>
                        </pic:nvPicPr>
                        <pic:blipFill>
                          <a:blip r:embed="rId16"/>
                          <a:stretch>
                            <a:fillRect/>
                          </a:stretch>
                        </pic:blipFill>
                        <pic:spPr>
                          <a:xfrm>
                            <a:off x="0" y="0"/>
                            <a:ext cx="2927350" cy="2197100"/>
                          </a:xfrm>
                          <a:prstGeom prst="rect">
                            <a:avLst/>
                          </a:prstGeom>
                        </pic:spPr>
                      </pic:pic>
                    </a:graphicData>
                  </a:graphic>
                </wp:inline>
              </w:drawing>
            </w:r>
          </w:p>
          <w:p>
            <w:pPr>
              <w:spacing w:line="360" w:lineRule="auto"/>
              <w:rPr>
                <w:rFonts w:hint="eastAsia" w:eastAsia="宋体"/>
                <w:sz w:val="21"/>
                <w:szCs w:val="21"/>
                <w:lang w:val="en-US" w:eastAsia="zh-CN"/>
              </w:rPr>
            </w:pPr>
            <w:r>
              <w:rPr>
                <w:rFonts w:hint="eastAsia" w:cs="Times New Roman"/>
                <w:lang w:val="en-US" w:eastAsia="zh-CN"/>
              </w:rPr>
              <w:t>2）</w:t>
            </w:r>
            <w:r>
              <w:rPr>
                <w:rFonts w:hint="eastAsia"/>
                <w:sz w:val="21"/>
                <w:szCs w:val="21"/>
                <w:lang w:val="en-US" w:eastAsia="zh-CN"/>
              </w:rPr>
              <w:t>一般固废：</w:t>
            </w:r>
            <w:r>
              <w:rPr>
                <w:color w:val="000000"/>
                <w:spacing w:val="0"/>
                <w:w w:val="100"/>
                <w:position w:val="0"/>
                <w:sz w:val="21"/>
                <w:szCs w:val="21"/>
              </w:rPr>
              <w:t>模切、</w:t>
            </w:r>
            <w:r>
              <w:rPr>
                <w:rFonts w:hint="eastAsia"/>
                <w:color w:val="000000"/>
                <w:spacing w:val="0"/>
                <w:w w:val="100"/>
                <w:position w:val="0"/>
                <w:sz w:val="21"/>
                <w:szCs w:val="21"/>
                <w:lang w:val="en-US" w:eastAsia="zh-CN"/>
              </w:rPr>
              <w:t>裁切</w:t>
            </w:r>
            <w:r>
              <w:rPr>
                <w:color w:val="000000"/>
                <w:spacing w:val="0"/>
                <w:w w:val="100"/>
                <w:position w:val="0"/>
                <w:sz w:val="21"/>
                <w:szCs w:val="21"/>
              </w:rPr>
              <w:t>工序会产生一定量的</w:t>
            </w:r>
            <w:r>
              <w:rPr>
                <w:rFonts w:hint="eastAsia"/>
                <w:color w:val="000000"/>
                <w:spacing w:val="0"/>
                <w:w w:val="100"/>
                <w:position w:val="0"/>
                <w:sz w:val="21"/>
                <w:szCs w:val="21"/>
                <w:lang w:val="en-US" w:eastAsia="zh-CN"/>
              </w:rPr>
              <w:t>边角料废纸</w:t>
            </w:r>
            <w:r>
              <w:rPr>
                <w:rFonts w:hint="eastAsia" w:ascii="宋体" w:hAnsi="宋体"/>
                <w:sz w:val="21"/>
                <w:szCs w:val="21"/>
                <w:lang w:val="en-US" w:eastAsia="zh-CN"/>
              </w:rPr>
              <w:t>，</w:t>
            </w:r>
            <w:r>
              <w:rPr>
                <w:color w:val="000000"/>
                <w:spacing w:val="0"/>
                <w:w w:val="100"/>
                <w:position w:val="0"/>
                <w:sz w:val="21"/>
                <w:szCs w:val="21"/>
              </w:rPr>
              <w:t>统一收集后交由资源回收单位回收利用；项目质检工序会产生一定量的次品，统一收集后交由资源回收单位回收利用</w:t>
            </w:r>
            <w:r>
              <w:rPr>
                <w:rFonts w:hint="eastAsia"/>
                <w:color w:val="000000"/>
                <w:spacing w:val="0"/>
                <w:w w:val="100"/>
                <w:position w:val="0"/>
                <w:sz w:val="21"/>
                <w:szCs w:val="21"/>
                <w:lang w:eastAsia="zh-CN"/>
              </w:rPr>
              <w:t>。</w:t>
            </w:r>
          </w:p>
          <w:p>
            <w:pPr>
              <w:pStyle w:val="2"/>
              <w:spacing w:line="360" w:lineRule="auto"/>
              <w:rPr>
                <w:rFonts w:hint="eastAsia" w:eastAsia="宋体"/>
                <w:color w:val="000000"/>
                <w:spacing w:val="0"/>
                <w:w w:val="100"/>
                <w:position w:val="0"/>
                <w:sz w:val="21"/>
                <w:szCs w:val="21"/>
                <w:lang w:val="en-US" w:eastAsia="zh-CN"/>
              </w:rPr>
            </w:pPr>
            <w:r>
              <w:rPr>
                <w:rFonts w:hint="eastAsia"/>
                <w:sz w:val="21"/>
                <w:szCs w:val="21"/>
                <w:lang w:val="en-US" w:eastAsia="zh-CN"/>
              </w:rPr>
              <w:t>生活垃圾：</w:t>
            </w:r>
            <w:r>
              <w:rPr>
                <w:color w:val="000000"/>
                <w:spacing w:val="0"/>
                <w:w w:val="100"/>
                <w:position w:val="0"/>
                <w:sz w:val="21"/>
                <w:szCs w:val="21"/>
              </w:rPr>
              <w:t>员工生活垃圾收集分类后交由环卫部门清运处理</w:t>
            </w:r>
            <w:r>
              <w:rPr>
                <w:rFonts w:hint="eastAsia"/>
                <w:color w:val="000000"/>
                <w:spacing w:val="0"/>
                <w:w w:val="100"/>
                <w:position w:val="0"/>
                <w:sz w:val="21"/>
                <w:szCs w:val="21"/>
                <w:lang w:eastAsia="zh-CN"/>
              </w:rPr>
              <w:t>。</w:t>
            </w:r>
          </w:p>
          <w:p>
            <w:pPr>
              <w:spacing w:line="360" w:lineRule="auto"/>
              <w:rPr>
                <w:rFonts w:hint="eastAsia"/>
                <w:sz w:val="21"/>
                <w:szCs w:val="21"/>
              </w:rPr>
            </w:pPr>
            <w:r>
              <w:rPr>
                <w:rFonts w:hint="eastAsia"/>
                <w:sz w:val="21"/>
                <w:szCs w:val="21"/>
              </w:rPr>
              <w:t>能源资源管控：</w:t>
            </w:r>
          </w:p>
          <w:p>
            <w:pPr>
              <w:spacing w:line="360" w:lineRule="auto"/>
              <w:rPr>
                <w:rFonts w:hint="eastAsia"/>
                <w:sz w:val="21"/>
                <w:szCs w:val="21"/>
              </w:rPr>
            </w:pPr>
            <w:r>
              <w:rPr>
                <w:rFonts w:hint="eastAsia"/>
                <w:sz w:val="21"/>
                <w:szCs w:val="21"/>
              </w:rPr>
              <w:t>生产过程注意节水、节电，人走关闭设备和照明开关，现场未发现有漏水和浪费电能的现象。</w:t>
            </w:r>
          </w:p>
          <w:p>
            <w:pPr>
              <w:spacing w:line="360" w:lineRule="auto"/>
              <w:rPr>
                <w:rFonts w:hint="eastAsia"/>
                <w:sz w:val="21"/>
                <w:szCs w:val="21"/>
              </w:rPr>
            </w:pPr>
            <w:r>
              <w:rPr>
                <w:rFonts w:hint="eastAsia"/>
                <w:sz w:val="21"/>
                <w:szCs w:val="21"/>
                <w:lang w:val="en-US" w:eastAsia="zh-CN"/>
              </w:rPr>
              <w:t>5</w:t>
            </w:r>
            <w:r>
              <w:rPr>
                <w:rFonts w:hint="eastAsia"/>
                <w:sz w:val="21"/>
                <w:szCs w:val="21"/>
              </w:rPr>
              <w:t>、产品生命周期的环境管控：</w:t>
            </w:r>
          </w:p>
          <w:p>
            <w:pPr>
              <w:spacing w:line="360" w:lineRule="auto"/>
              <w:rPr>
                <w:rFonts w:hint="eastAsia"/>
                <w:sz w:val="21"/>
                <w:szCs w:val="21"/>
              </w:rPr>
            </w:pPr>
            <w:r>
              <w:rPr>
                <w:rFonts w:hint="eastAsia"/>
                <w:sz w:val="21"/>
                <w:szCs w:val="21"/>
              </w:rPr>
              <w:t>公司从工艺设计和采购产品时已考虑了产品的环保性，生产过程中，严格按照环保等管理制度实施，控制好辅助材料的用量，避免浪费，生命周期终了时</w:t>
            </w:r>
            <w:r>
              <w:rPr>
                <w:rFonts w:hint="eastAsia"/>
                <w:sz w:val="21"/>
                <w:szCs w:val="21"/>
                <w:lang w:val="en-US" w:eastAsia="zh-CN"/>
              </w:rPr>
              <w:t>原料</w:t>
            </w:r>
            <w:r>
              <w:rPr>
                <w:rFonts w:hint="eastAsia"/>
                <w:sz w:val="21"/>
                <w:szCs w:val="21"/>
              </w:rPr>
              <w:t>还可以回收再利用。</w:t>
            </w:r>
          </w:p>
          <w:p>
            <w:pPr>
              <w:spacing w:line="360" w:lineRule="auto"/>
              <w:rPr>
                <w:rFonts w:hint="eastAsia"/>
                <w:sz w:val="21"/>
                <w:szCs w:val="21"/>
              </w:rPr>
            </w:pPr>
            <w:r>
              <w:rPr>
                <w:rFonts w:hint="eastAsia"/>
                <w:sz w:val="21"/>
                <w:szCs w:val="21"/>
                <w:lang w:val="en-US" w:eastAsia="zh-CN"/>
              </w:rPr>
              <w:t>6</w:t>
            </w:r>
            <w:r>
              <w:rPr>
                <w:rFonts w:hint="eastAsia"/>
                <w:sz w:val="21"/>
                <w:szCs w:val="21"/>
              </w:rPr>
              <w:t>、潜在火灾管控：</w:t>
            </w:r>
          </w:p>
          <w:p>
            <w:pPr>
              <w:spacing w:line="360" w:lineRule="auto"/>
              <w:rPr>
                <w:rFonts w:hint="eastAsia"/>
                <w:sz w:val="21"/>
                <w:szCs w:val="21"/>
              </w:rPr>
            </w:pPr>
            <w:r>
              <w:rPr>
                <w:rFonts w:hint="eastAsia"/>
                <w:sz w:val="21"/>
                <w:szCs w:val="21"/>
              </w:rPr>
              <w:t>公司生产车间和办公区域配备了灭火器，均符合要求。</w:t>
            </w:r>
          </w:p>
          <w:p>
            <w:pPr>
              <w:spacing w:line="360" w:lineRule="auto"/>
              <w:rPr>
                <w:rFonts w:hint="eastAsia"/>
                <w:sz w:val="21"/>
                <w:szCs w:val="21"/>
              </w:rPr>
            </w:pPr>
            <w:r>
              <w:rPr>
                <w:rFonts w:hint="eastAsia"/>
                <w:sz w:val="21"/>
                <w:szCs w:val="21"/>
                <w:lang w:val="en-US" w:eastAsia="zh-CN"/>
              </w:rPr>
              <w:t>7</w:t>
            </w:r>
            <w:r>
              <w:rPr>
                <w:rFonts w:hint="eastAsia"/>
                <w:sz w:val="21"/>
                <w:szCs w:val="21"/>
              </w:rPr>
              <w:t>、现场观察运行控制：</w:t>
            </w:r>
          </w:p>
          <w:p>
            <w:pPr>
              <w:spacing w:line="360" w:lineRule="auto"/>
              <w:rPr>
                <w:rFonts w:hint="eastAsia"/>
                <w:sz w:val="21"/>
                <w:szCs w:val="21"/>
              </w:rPr>
            </w:pPr>
            <w:r>
              <w:rPr>
                <w:rFonts w:hint="eastAsia"/>
                <w:sz w:val="21"/>
                <w:szCs w:val="21"/>
              </w:rPr>
              <w:t>生产车间标有各种警示标识，如：小心触电、禁止吸烟等，车间采光良好、空气流通，车间噪音较小对员工危害不大。</w:t>
            </w:r>
          </w:p>
          <w:p>
            <w:pPr>
              <w:spacing w:line="360" w:lineRule="auto"/>
              <w:rPr>
                <w:rFonts w:hint="eastAsia"/>
                <w:sz w:val="21"/>
                <w:szCs w:val="21"/>
              </w:rPr>
            </w:pPr>
            <w:r>
              <w:rPr>
                <w:rFonts w:hint="eastAsia"/>
                <w:sz w:val="21"/>
                <w:szCs w:val="21"/>
              </w:rPr>
              <w:t>现场巡视办公及生产区域配备有灭火器多个，各车间均配有灭火器。</w:t>
            </w:r>
          </w:p>
          <w:p>
            <w:pPr>
              <w:spacing w:line="360" w:lineRule="auto"/>
              <w:rPr>
                <w:rFonts w:hint="eastAsia"/>
                <w:sz w:val="21"/>
                <w:szCs w:val="21"/>
              </w:rPr>
            </w:pPr>
            <w:r>
              <w:rPr>
                <w:rFonts w:hint="eastAsia"/>
                <w:sz w:val="21"/>
                <w:szCs w:val="21"/>
              </w:rPr>
              <w:t>现场查看各工序设备运转基本正常，人员操作方法合理，</w:t>
            </w:r>
            <w:bookmarkStart w:id="0" w:name="_GoBack"/>
            <w:bookmarkEnd w:id="0"/>
            <w:r>
              <w:rPr>
                <w:rFonts w:hint="eastAsia"/>
                <w:sz w:val="21"/>
                <w:szCs w:val="21"/>
              </w:rPr>
              <w:t>并佩带要相应的防护措施，操作人员穿戴有工作衣、工作鞋、手套等安全防护用品。</w:t>
            </w:r>
          </w:p>
          <w:p>
            <w:pPr>
              <w:spacing w:line="360" w:lineRule="auto"/>
              <w:rPr>
                <w:rFonts w:hint="eastAsia"/>
                <w:sz w:val="21"/>
                <w:szCs w:val="21"/>
              </w:rPr>
            </w:pPr>
            <w:r>
              <w:rPr>
                <w:rFonts w:hint="eastAsia"/>
                <w:sz w:val="21"/>
                <w:szCs w:val="21"/>
              </w:rPr>
              <w:t>各车间安全设施设有提示说明，方便取用，未发现遮挡消防设施和挤占消防通道的情况。</w:t>
            </w:r>
          </w:p>
          <w:p>
            <w:pPr>
              <w:spacing w:line="360" w:lineRule="auto"/>
              <w:rPr>
                <w:rFonts w:hint="eastAsia"/>
                <w:color w:val="000000" w:themeColor="text1"/>
                <w:sz w:val="21"/>
                <w:szCs w:val="21"/>
              </w:rPr>
            </w:pPr>
            <w:r>
              <w:rPr>
                <w:rFonts w:hint="eastAsia"/>
                <w:sz w:val="21"/>
                <w:szCs w:val="21"/>
              </w:rPr>
              <w:t>车间设备采用了减震措施，噪声不大，设备有急停按钮，设备旋转部位有护罩，</w:t>
            </w:r>
            <w:r>
              <w:rPr>
                <w:rFonts w:hint="eastAsia"/>
                <w:sz w:val="21"/>
                <w:szCs w:val="21"/>
                <w:lang w:val="en-US" w:eastAsia="zh-CN"/>
              </w:rPr>
              <w:t>生产</w:t>
            </w:r>
            <w:r>
              <w:rPr>
                <w:rFonts w:hint="eastAsia"/>
                <w:sz w:val="21"/>
                <w:szCs w:val="21"/>
              </w:rPr>
              <w:t>废边</w:t>
            </w:r>
            <w:r>
              <w:rPr>
                <w:rFonts w:hint="eastAsia"/>
                <w:color w:val="000000" w:themeColor="text1"/>
                <w:sz w:val="21"/>
                <w:szCs w:val="21"/>
              </w:rPr>
              <w:t>角料放在了垃圾桶内。</w:t>
            </w:r>
          </w:p>
          <w:p>
            <w:pPr>
              <w:spacing w:line="360" w:lineRule="auto"/>
              <w:rPr>
                <w:rFonts w:hint="eastAsia" w:ascii="Times New Roman" w:hAnsi="Times New Roman" w:eastAsia="宋体" w:cs="Times New Roman"/>
                <w:lang w:val="en-US" w:eastAsia="zh-CN"/>
              </w:rPr>
            </w:pPr>
            <w:r>
              <w:rPr>
                <w:rFonts w:hint="eastAsia"/>
                <w:color w:val="000000" w:themeColor="text1"/>
                <w:sz w:val="21"/>
                <w:szCs w:val="21"/>
              </w:rPr>
              <w:t>车间现场在环保方面的控制管理基本有效。</w:t>
            </w:r>
          </w:p>
          <w:p>
            <w:pPr>
              <w:spacing w:line="360" w:lineRule="auto"/>
              <w:rPr>
                <w:rFonts w:hint="default"/>
                <w:lang w:val="en-US" w:eastAsia="zh-CN"/>
              </w:rPr>
            </w:pPr>
            <w:r>
              <w:rPr>
                <w:rFonts w:hint="eastAsia" w:ascii="Times New Roman" w:hAnsi="Times New Roman" w:eastAsia="宋体" w:cs="Times New Roman"/>
                <w:lang w:val="en-US" w:eastAsia="zh-CN"/>
              </w:rPr>
              <w:t>部门运行控制能结合产品生命周期方法，基本符合规定要求</w:t>
            </w:r>
            <w:r>
              <w:rPr>
                <w:rFonts w:hint="eastAsia" w:cs="Times New Roman"/>
                <w:lang w:val="en-US" w:eastAsia="zh-CN"/>
              </w:rPr>
              <w:t>，</w:t>
            </w:r>
            <w:r>
              <w:rPr>
                <w:rFonts w:hint="eastAsia" w:cs="Times New Roman"/>
                <w:b/>
                <w:bCs/>
                <w:lang w:val="en-US" w:eastAsia="zh-CN"/>
              </w:rPr>
              <w:t>除现场有一个灭火器已失效，详见不符合报告</w:t>
            </w:r>
            <w:r>
              <w:rPr>
                <w:rFonts w:hint="eastAsia" w:cs="Times New Roman"/>
                <w:lang w:val="en-US" w:eastAsia="zh-CN"/>
              </w:rPr>
              <w:t>。</w:t>
            </w:r>
          </w:p>
        </w:tc>
        <w:tc>
          <w:tcPr>
            <w:tcW w:w="1585" w:type="dxa"/>
          </w:tcPr>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81" w:type="dxa"/>
          </w:tcPr>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hint="eastAsia" w:ascii="宋体" w:hAnsi="宋体" w:cs="新宋体"/>
                <w:szCs w:val="21"/>
              </w:rPr>
            </w:pPr>
          </w:p>
          <w:p>
            <w:pPr>
              <w:adjustRightInd w:val="0"/>
              <w:snapToGrid w:val="0"/>
              <w:spacing w:line="360" w:lineRule="auto"/>
              <w:jc w:val="left"/>
              <w:rPr>
                <w:rFonts w:ascii="宋体" w:hAnsi="宋体" w:cs="新宋体"/>
                <w:szCs w:val="21"/>
              </w:rPr>
            </w:pPr>
            <w:r>
              <w:rPr>
                <w:rFonts w:hint="eastAsia" w:ascii="宋体" w:hAnsi="宋体" w:cs="新宋体"/>
                <w:szCs w:val="21"/>
              </w:rPr>
              <w:t>应急准备和响应</w:t>
            </w:r>
          </w:p>
        </w:tc>
        <w:tc>
          <w:tcPr>
            <w:tcW w:w="1139" w:type="dxa"/>
          </w:tcPr>
          <w:p>
            <w:pPr>
              <w:spacing w:line="360" w:lineRule="auto"/>
              <w:rPr>
                <w:rFonts w:hint="eastAsia" w:ascii="宋体" w:hAnsi="宋体" w:cs="新宋体"/>
                <w:szCs w:val="21"/>
              </w:rPr>
            </w:pPr>
          </w:p>
          <w:p>
            <w:pPr>
              <w:spacing w:line="360" w:lineRule="auto"/>
              <w:rPr>
                <w:rFonts w:hint="eastAsia" w:ascii="宋体" w:hAnsi="宋体" w:cs="新宋体"/>
                <w:szCs w:val="21"/>
              </w:rPr>
            </w:pPr>
          </w:p>
          <w:p>
            <w:pPr>
              <w:spacing w:line="360" w:lineRule="auto"/>
              <w:rPr>
                <w:rFonts w:hint="eastAsia" w:ascii="宋体" w:hAnsi="宋体" w:cs="新宋体"/>
                <w:szCs w:val="21"/>
              </w:rPr>
            </w:pPr>
          </w:p>
          <w:p>
            <w:pPr>
              <w:spacing w:line="360" w:lineRule="auto"/>
              <w:rPr>
                <w:rFonts w:ascii="宋体" w:hAnsi="宋体" w:cs="新宋体"/>
                <w:szCs w:val="21"/>
              </w:rPr>
            </w:pPr>
            <w:r>
              <w:rPr>
                <w:rFonts w:hint="eastAsia" w:ascii="宋体" w:hAnsi="宋体" w:cs="新宋体"/>
                <w:szCs w:val="21"/>
                <w:lang w:eastAsia="zh-CN"/>
              </w:rPr>
              <w:t>E</w:t>
            </w:r>
            <w:r>
              <w:rPr>
                <w:rFonts w:hint="eastAsia" w:ascii="宋体" w:hAnsi="宋体" w:cs="新宋体"/>
                <w:szCs w:val="21"/>
                <w:lang w:val="en-US" w:eastAsia="zh-CN"/>
              </w:rPr>
              <w:t>:</w:t>
            </w:r>
            <w:r>
              <w:rPr>
                <w:rFonts w:hint="eastAsia" w:ascii="宋体" w:hAnsi="宋体" w:cs="新宋体"/>
                <w:szCs w:val="21"/>
              </w:rPr>
              <w:t>8.2</w:t>
            </w:r>
          </w:p>
          <w:p>
            <w:pPr>
              <w:spacing w:line="360" w:lineRule="auto"/>
              <w:rPr>
                <w:rFonts w:ascii="宋体" w:hAnsi="宋体" w:cs="新宋体"/>
                <w:szCs w:val="21"/>
              </w:rPr>
            </w:pPr>
          </w:p>
        </w:tc>
        <w:tc>
          <w:tcPr>
            <w:tcW w:w="10004" w:type="dxa"/>
          </w:tcPr>
          <w:p>
            <w:pPr>
              <w:spacing w:line="360" w:lineRule="auto"/>
            </w:pPr>
            <w:r>
              <w:rPr>
                <w:rFonts w:hint="eastAsia"/>
              </w:rPr>
              <w:t>查见：《</w:t>
            </w:r>
            <w:r>
              <w:rPr>
                <w:rFonts w:hint="eastAsia"/>
                <w:lang w:val="en-US" w:eastAsia="zh-CN"/>
              </w:rPr>
              <w:t>消防安全管理程序</w:t>
            </w:r>
            <w:r>
              <w:rPr>
                <w:rFonts w:hint="eastAsia"/>
              </w:rPr>
              <w:t>》、《消防应急预案》等。</w:t>
            </w:r>
          </w:p>
          <w:p>
            <w:pPr>
              <w:spacing w:line="360" w:lineRule="auto"/>
            </w:pPr>
            <w:r>
              <w:rPr>
                <w:rFonts w:hint="eastAsia"/>
              </w:rPr>
              <w:t>查见：消防演练实况记录：公司全体人员参加了20</w:t>
            </w:r>
            <w:r>
              <w:rPr>
                <w:rFonts w:hint="eastAsia"/>
                <w:lang w:val="en-US" w:eastAsia="zh-CN"/>
              </w:rPr>
              <w:t>22年1</w:t>
            </w:r>
            <w:r>
              <w:rPr>
                <w:rFonts w:hint="eastAsia"/>
              </w:rPr>
              <w:t>月</w:t>
            </w:r>
            <w:r>
              <w:rPr>
                <w:rFonts w:hint="eastAsia"/>
                <w:lang w:val="en-US" w:eastAsia="zh-CN"/>
              </w:rPr>
              <w:t>22</w:t>
            </w:r>
            <w:r>
              <w:rPr>
                <w:rFonts w:hint="eastAsia"/>
              </w:rPr>
              <w:t>日在公司由</w:t>
            </w:r>
            <w:r>
              <w:rPr>
                <w:rFonts w:hint="eastAsia"/>
                <w:lang w:eastAsia="zh-CN"/>
              </w:rPr>
              <w:t>生产部</w:t>
            </w:r>
            <w:r>
              <w:rPr>
                <w:rFonts w:hint="eastAsia"/>
              </w:rPr>
              <w:t>组织的因公司办公室火灾演练。</w:t>
            </w:r>
          </w:p>
          <w:p>
            <w:pPr>
              <w:spacing w:line="360" w:lineRule="auto"/>
              <w:ind w:firstLine="210" w:firstLineChars="100"/>
              <w:rPr>
                <w:rFonts w:hint="eastAsia"/>
              </w:rPr>
            </w:pPr>
            <w:r>
              <w:rPr>
                <w:rFonts w:hint="eastAsia"/>
              </w:rPr>
              <w:t>现场能提供演练记录及消防安全演习总结报告。通过演练，检验了公司应对突发事件的能力、以及公司火灾事故应急预案的可操作性。有效降低事故危害，减少事故损失，确保公司安全、健康、有序的发展等。</w:t>
            </w:r>
          </w:p>
          <w:p>
            <w:pPr>
              <w:pStyle w:val="2"/>
              <w:rPr>
                <w:rFonts w:hint="default" w:eastAsia="宋体"/>
                <w:lang w:val="en-US" w:eastAsia="zh-CN"/>
              </w:rPr>
            </w:pPr>
            <w:r>
              <w:rPr>
                <w:rFonts w:hint="eastAsia" w:eastAsia="宋体"/>
                <w:lang w:eastAsia="zh-CN"/>
              </w:rPr>
              <w:drawing>
                <wp:inline distT="0" distB="0" distL="114300" distR="114300">
                  <wp:extent cx="2780030" cy="2085340"/>
                  <wp:effectExtent l="0" t="0" r="1270" b="10160"/>
                  <wp:docPr id="16" name="图片 16" descr="8342e8267d3970c4c1c9cf98f436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342e8267d3970c4c1c9cf98f436d7e"/>
                          <pic:cNvPicPr>
                            <a:picLocks noChangeAspect="1"/>
                          </pic:cNvPicPr>
                        </pic:nvPicPr>
                        <pic:blipFill>
                          <a:blip r:embed="rId17"/>
                          <a:stretch>
                            <a:fillRect/>
                          </a:stretch>
                        </pic:blipFill>
                        <pic:spPr>
                          <a:xfrm>
                            <a:off x="0" y="0"/>
                            <a:ext cx="2780030" cy="208534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762250" cy="2071370"/>
                  <wp:effectExtent l="0" t="0" r="6350" b="11430"/>
                  <wp:docPr id="17" name="图片 17" descr="7f5d6e5309008215c16a5cc146cf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f5d6e5309008215c16a5cc146cfd24"/>
                          <pic:cNvPicPr>
                            <a:picLocks noChangeAspect="1"/>
                          </pic:cNvPicPr>
                        </pic:nvPicPr>
                        <pic:blipFill>
                          <a:blip r:embed="rId18"/>
                          <a:stretch>
                            <a:fillRect/>
                          </a:stretch>
                        </pic:blipFill>
                        <pic:spPr>
                          <a:xfrm>
                            <a:off x="0" y="0"/>
                            <a:ext cx="2762250" cy="2071370"/>
                          </a:xfrm>
                          <a:prstGeom prst="rect">
                            <a:avLst/>
                          </a:prstGeom>
                        </pic:spPr>
                      </pic:pic>
                    </a:graphicData>
                  </a:graphic>
                </wp:inline>
              </w:drawing>
            </w:r>
          </w:p>
          <w:p>
            <w:pPr>
              <w:pStyle w:val="2"/>
              <w:rPr>
                <w:rFonts w:hint="eastAsia"/>
              </w:rPr>
            </w:pPr>
          </w:p>
          <w:p>
            <w:pPr>
              <w:spacing w:line="360" w:lineRule="auto"/>
              <w:rPr>
                <w:rFonts w:hint="eastAsia"/>
              </w:rPr>
            </w:pPr>
            <w:r>
              <w:rPr>
                <w:rFonts w:hint="eastAsia"/>
              </w:rPr>
              <w:t>应急准备：在公司办公区域，按要求配置灭火器。</w:t>
            </w:r>
          </w:p>
          <w:p>
            <w:pPr>
              <w:spacing w:line="360" w:lineRule="auto"/>
              <w:jc w:val="lef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查2021年9月9日进行触电应急演练，有计划，演练后形成演习报告，有实施记录、有总结：本次触电演练使员工对造成事故原因“改正不良作业习惯”有了清醒的认识，同时现场工人了解了触电的危害、触电的基本应对措施和故障排除方法，使各个应急小组协同应急得到了提升；起到了很好的预防效果，总的来讲是比较成功的。</w:t>
            </w:r>
          </w:p>
          <w:p>
            <w:pPr>
              <w:spacing w:line="360" w:lineRule="auto"/>
              <w:jc w:val="lef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通过本次演习，验证了公司应急程序的可行性与适宜性，对应急文件的评审结论通过。</w:t>
            </w:r>
          </w:p>
          <w:p>
            <w:pPr>
              <w:spacing w:line="360" w:lineRule="auto"/>
              <w:jc w:val="left"/>
            </w:pPr>
            <w:r>
              <w:rPr>
                <w:rFonts w:hint="eastAsia" w:cs="宋体" w:asciiTheme="minorEastAsia" w:hAnsiTheme="minorEastAsia" w:eastAsiaTheme="minorEastAsia"/>
                <w:szCs w:val="21"/>
                <w:lang w:val="en-US" w:eastAsia="zh-CN"/>
              </w:rPr>
              <w:t>自体系运行以来尚未发生紧急情况。</w:t>
            </w:r>
          </w:p>
        </w:tc>
        <w:tc>
          <w:tcPr>
            <w:tcW w:w="1585" w:type="dxa"/>
          </w:tcPr>
          <w:p>
            <w:r>
              <w:rPr>
                <w:rFonts w:hint="eastAsia"/>
                <w:lang w:val="en-US" w:eastAsia="zh-CN"/>
              </w:rPr>
              <w:t>符合</w:t>
            </w:r>
          </w:p>
        </w:tc>
      </w:tr>
    </w:tbl>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9B86B9"/>
    <w:multiLevelType w:val="singleLevel"/>
    <w:tmpl w:val="F49B86B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7311A7"/>
    <w:rsid w:val="03285A83"/>
    <w:rsid w:val="52836540"/>
    <w:rsid w:val="66E90214"/>
    <w:rsid w:val="74623A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列出段落3"/>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强子</cp:lastModifiedBy>
  <dcterms:modified xsi:type="dcterms:W3CDTF">2022-03-01T13:16:12Z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