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客服部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安华翠</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魏苹</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eastAsia" w:eastAsia="宋体"/>
                <w:lang w:val="en-US" w:eastAsia="zh-CN"/>
              </w:rPr>
            </w:pPr>
            <w:r>
              <w:rPr>
                <w:rFonts w:hint="eastAsia"/>
                <w:sz w:val="24"/>
                <w:szCs w:val="24"/>
              </w:rPr>
              <w:t>审核员：</w:t>
            </w:r>
            <w:r>
              <w:rPr>
                <w:rFonts w:hint="eastAsia" w:ascii="Times New Roman" w:hAnsi="Times New Roman" w:eastAsia="宋体" w:cs="Times New Roman"/>
                <w:sz w:val="24"/>
                <w:szCs w:val="24"/>
                <w:lang w:val="en-US" w:eastAsia="zh-CN"/>
              </w:rPr>
              <w:t xml:space="preserve">郭力、陈琦   </w:t>
            </w:r>
            <w:r>
              <w:rPr>
                <w:rFonts w:hint="eastAsia"/>
                <w:sz w:val="18"/>
                <w:szCs w:val="18"/>
                <w:lang w:val="en-US" w:eastAsia="zh-CN"/>
              </w:rPr>
              <w:t xml:space="preserve">    </w:t>
            </w:r>
            <w:r>
              <w:rPr>
                <w:rFonts w:hint="eastAsia"/>
                <w:sz w:val="24"/>
                <w:szCs w:val="24"/>
              </w:rPr>
              <w:t>审核时间：202</w:t>
            </w:r>
            <w:r>
              <w:rPr>
                <w:rFonts w:hint="eastAsia"/>
                <w:sz w:val="24"/>
                <w:szCs w:val="24"/>
                <w:lang w:val="en-US" w:eastAsia="zh-CN"/>
              </w:rPr>
              <w:t>2</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23日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napToGrid w:val="0"/>
              <w:spacing w:line="280" w:lineRule="exact"/>
              <w:jc w:val="left"/>
              <w:rPr>
                <w:sz w:val="24"/>
                <w:szCs w:val="24"/>
              </w:rPr>
            </w:pPr>
            <w:r>
              <w:rPr>
                <w:rFonts w:hint="eastAsia"/>
                <w:sz w:val="24"/>
                <w:szCs w:val="24"/>
              </w:rPr>
              <w:t>审核条款：</w:t>
            </w:r>
            <w:r>
              <w:rPr>
                <w:rFonts w:ascii="宋体" w:hAnsi="宋体" w:cs="Arial"/>
                <w:sz w:val="21"/>
                <w:szCs w:val="21"/>
              </w:rPr>
              <w:t>EMS: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ascii="宋体" w:hAnsi="宋体" w:cs="Arial"/>
                <w:szCs w:val="21"/>
              </w:rPr>
              <w:t>组织的岗位、职责和权限</w:t>
            </w:r>
          </w:p>
        </w:tc>
        <w:tc>
          <w:tcPr>
            <w:tcW w:w="960" w:type="dxa"/>
          </w:tcPr>
          <w:p>
            <w:pPr>
              <w:spacing w:line="360" w:lineRule="auto"/>
            </w:pPr>
            <w:r>
              <w:rPr>
                <w:rFonts w:ascii="宋体" w:hAnsi="宋体" w:cs="Arial"/>
                <w:szCs w:val="21"/>
              </w:rPr>
              <w:t>E:5.3</w:t>
            </w:r>
            <w:r>
              <w:t xml:space="preserve"> </w:t>
            </w:r>
          </w:p>
        </w:tc>
        <w:tc>
          <w:tcPr>
            <w:tcW w:w="10004"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客服部</w:t>
            </w:r>
            <w:r>
              <w:rPr>
                <w:rFonts w:hint="eastAsia" w:ascii="宋体" w:hAnsi="宋体" w:cs="宋体"/>
                <w:szCs w:val="21"/>
              </w:rPr>
              <w:t>按照公司领导要求，做好公司职能和岗位的具体确定</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理解本公司的环境和职业健康安全方针，增强满足顾客要求的意识；</w:t>
            </w:r>
          </w:p>
          <w:p>
            <w:pPr>
              <w:spacing w:line="360" w:lineRule="auto"/>
              <w:ind w:firstLine="420" w:firstLineChars="200"/>
              <w:rPr>
                <w:rFonts w:hint="eastAsia" w:ascii="宋体" w:hAnsi="宋体" w:cs="宋体"/>
                <w:szCs w:val="21"/>
              </w:rPr>
            </w:pPr>
            <w:r>
              <w:rPr>
                <w:rFonts w:hint="eastAsia" w:ascii="宋体" w:hAnsi="宋体" w:cs="宋体"/>
                <w:szCs w:val="21"/>
              </w:rPr>
              <w:t xml:space="preserve">负责与顾客沟通，收集、处理有关信息，负责组织与产品有关要求的评审； </w:t>
            </w:r>
          </w:p>
          <w:p>
            <w:pPr>
              <w:spacing w:line="360" w:lineRule="auto"/>
              <w:ind w:firstLine="420" w:firstLineChars="200"/>
              <w:rPr>
                <w:rFonts w:hint="eastAsia" w:ascii="宋体" w:hAnsi="宋体" w:cs="宋体"/>
                <w:szCs w:val="21"/>
              </w:rPr>
            </w:pPr>
            <w:r>
              <w:rPr>
                <w:rFonts w:hint="eastAsia" w:ascii="宋体" w:hAnsi="宋体" w:cs="宋体"/>
                <w:szCs w:val="21"/>
              </w:rPr>
              <w:t>负责公司产品的宣传、推广、销售、回款以及公司的形象宣传等所有销售活动管理。</w:t>
            </w:r>
          </w:p>
          <w:p>
            <w:pPr>
              <w:spacing w:line="360" w:lineRule="auto"/>
              <w:ind w:firstLine="420" w:firstLineChars="200"/>
              <w:rPr>
                <w:rFonts w:hint="eastAsia" w:ascii="宋体" w:hAnsi="宋体" w:cs="宋体"/>
                <w:szCs w:val="21"/>
              </w:rPr>
            </w:pPr>
            <w:r>
              <w:rPr>
                <w:rFonts w:hint="eastAsia" w:ascii="宋体" w:hAnsi="宋体" w:cs="宋体"/>
                <w:szCs w:val="21"/>
              </w:rPr>
              <w:t>负责保持与顾客进行有关的环境/职业健康安全信息交流，并将管理信息传递给有关人员。</w:t>
            </w:r>
          </w:p>
          <w:p>
            <w:pPr>
              <w:spacing w:line="360" w:lineRule="auto"/>
              <w:ind w:firstLine="420" w:firstLineChars="200"/>
              <w:rPr>
                <w:rFonts w:ascii="宋体" w:hAnsi="宋体" w:cs="宋体"/>
                <w:szCs w:val="21"/>
              </w:rPr>
            </w:pPr>
            <w:r>
              <w:rPr>
                <w:rFonts w:hint="eastAsia" w:ascii="宋体" w:hAnsi="宋体" w:cs="宋体"/>
                <w:szCs w:val="21"/>
              </w:rPr>
              <w:t>负责组织进行与与顾客的沟通.</w:t>
            </w:r>
          </w:p>
          <w:p>
            <w:pPr>
              <w:spacing w:line="360" w:lineRule="auto"/>
              <w:ind w:firstLine="420" w:firstLineChars="200"/>
              <w:rPr>
                <w:rFonts w:ascii="宋体" w:hAnsi="宋体" w:cs="宋体"/>
                <w:szCs w:val="21"/>
              </w:rPr>
            </w:pPr>
            <w:r>
              <w:rPr>
                <w:rFonts w:hint="eastAsia" w:ascii="宋体" w:hAnsi="宋体" w:cs="宋体"/>
                <w:szCs w:val="21"/>
                <w:lang w:val="en-US" w:eastAsia="zh-CN"/>
              </w:rPr>
              <w:t>客服部</w:t>
            </w:r>
            <w:r>
              <w:rPr>
                <w:rFonts w:hint="eastAsia" w:ascii="宋体" w:hAnsi="宋体" w:cs="宋体"/>
                <w:szCs w:val="21"/>
              </w:rPr>
              <w:t>负责人：</w:t>
            </w:r>
            <w:r>
              <w:rPr>
                <w:rFonts w:hint="eastAsia" w:ascii="宋体" w:hAnsi="宋体" w:cs="宋体"/>
                <w:szCs w:val="21"/>
                <w:lang w:val="en-US" w:eastAsia="zh-CN"/>
              </w:rPr>
              <w:t>安华翠</w:t>
            </w:r>
            <w:r>
              <w:rPr>
                <w:rFonts w:hint="eastAsia" w:ascii="宋体" w:hAnsi="宋体" w:cs="宋体"/>
                <w:szCs w:val="21"/>
              </w:rPr>
              <w:t>。在手册中确定了</w:t>
            </w:r>
            <w:r>
              <w:rPr>
                <w:rFonts w:hint="eastAsia" w:ascii="宋体" w:hAnsi="宋体" w:cs="宋体"/>
                <w:szCs w:val="21"/>
                <w:lang w:eastAsia="zh-CN"/>
              </w:rPr>
              <w:t>客服部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客服部</w:t>
            </w:r>
            <w:r>
              <w:rPr>
                <w:rFonts w:hint="eastAsia" w:ascii="宋体" w:hAnsi="宋体" w:cs="宋体"/>
                <w:szCs w:val="21"/>
              </w:rPr>
              <w:t>人员，基本清楚本部门职责。</w:t>
            </w:r>
          </w:p>
          <w:p>
            <w:pPr>
              <w:spacing w:line="360" w:lineRule="auto"/>
              <w:ind w:firstLine="420"/>
              <w:rPr>
                <w:b/>
                <w:color w:val="000000"/>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pPr>
            <w:r>
              <w:rPr>
                <w:rFonts w:hint="eastAsia" w:ascii="宋体" w:hAnsi="宋体" w:cs="Arial"/>
                <w:sz w:val="21"/>
                <w:szCs w:val="21"/>
              </w:rPr>
              <w:t>环境与职业健康安全目标</w:t>
            </w:r>
          </w:p>
        </w:tc>
        <w:tc>
          <w:tcPr>
            <w:tcW w:w="960" w:type="dxa"/>
          </w:tcPr>
          <w:p>
            <w:pPr>
              <w:spacing w:line="360" w:lineRule="auto"/>
            </w:pPr>
            <w:r>
              <w:rPr>
                <w:rFonts w:ascii="宋体" w:hAnsi="宋体" w:cs="Arial"/>
                <w:szCs w:val="21"/>
              </w:rPr>
              <w:t>QE:6.2</w:t>
            </w:r>
          </w:p>
        </w:tc>
        <w:tc>
          <w:tcPr>
            <w:tcW w:w="10004" w:type="dxa"/>
          </w:tcPr>
          <w:p>
            <w:pPr>
              <w:snapToGrid w:val="0"/>
              <w:spacing w:line="360" w:lineRule="auto"/>
              <w:rPr>
                <w:rFonts w:hint="eastAsia"/>
                <w:lang w:val="en-US" w:eastAsia="zh-CN"/>
              </w:rPr>
            </w:pPr>
            <w:r>
              <w:rPr>
                <w:rFonts w:hint="eastAsia"/>
                <w:lang w:eastAsia="zh-CN"/>
              </w:rPr>
              <w:t>涉及客服部的质量、环境和职业健康安全管理目标及完成情况：抽查</w:t>
            </w:r>
            <w:r>
              <w:rPr>
                <w:rFonts w:hint="eastAsia"/>
                <w:lang w:val="en-US" w:eastAsia="zh-CN"/>
              </w:rPr>
              <w:t>2021年12月20日目标考核情况，</w:t>
            </w:r>
          </w:p>
          <w:p>
            <w:pPr>
              <w:numPr>
                <w:ilvl w:val="0"/>
                <w:numId w:val="1"/>
              </w:numPr>
              <w:snapToGrid w:val="0"/>
              <w:spacing w:line="360" w:lineRule="auto"/>
              <w:rPr>
                <w:rFonts w:hint="eastAsia"/>
                <w:lang w:val="en-US" w:eastAsia="zh-CN"/>
              </w:rPr>
            </w:pPr>
            <w:r>
              <w:rPr>
                <w:rFonts w:hint="eastAsia"/>
                <w:lang w:val="en-US" w:eastAsia="zh-CN"/>
              </w:rPr>
              <w:t>办公场所分类处理各类废弃物，有专门收集箱并标识，回收处理率100%.</w:t>
            </w:r>
            <w:r>
              <w:rPr>
                <w:rFonts w:hint="eastAsia"/>
                <w:lang w:val="en-US" w:eastAsia="zh-CN"/>
              </w:rPr>
              <w:tab/>
            </w:r>
            <w:r>
              <w:rPr>
                <w:rFonts w:hint="eastAsia"/>
                <w:lang w:val="en-US" w:eastAsia="zh-CN"/>
              </w:rPr>
              <w:t xml:space="preserve">  </w:t>
            </w:r>
          </w:p>
          <w:p>
            <w:pPr>
              <w:numPr>
                <w:ilvl w:val="0"/>
                <w:numId w:val="0"/>
              </w:numPr>
              <w:snapToGrid w:val="0"/>
              <w:spacing w:line="360" w:lineRule="auto"/>
              <w:ind w:firstLine="3780" w:firstLineChars="1800"/>
              <w:rPr>
                <w:rFonts w:hint="eastAsia"/>
                <w:lang w:val="en-US" w:eastAsia="zh-CN"/>
              </w:rPr>
            </w:pPr>
            <w:r>
              <w:rPr>
                <w:rFonts w:hint="eastAsia"/>
                <w:lang w:val="en-US" w:eastAsia="zh-CN"/>
              </w:rPr>
              <w:t>处理率＝处理数÷应回收处理总数×100%</w:t>
            </w:r>
            <w:r>
              <w:rPr>
                <w:rFonts w:hint="eastAsia"/>
                <w:lang w:val="en-US" w:eastAsia="zh-CN"/>
              </w:rPr>
              <w:tab/>
            </w:r>
            <w:r>
              <w:rPr>
                <w:rFonts w:hint="eastAsia"/>
                <w:lang w:val="en-US" w:eastAsia="zh-CN"/>
              </w:rPr>
              <w:t>100%</w:t>
            </w:r>
          </w:p>
          <w:p>
            <w:pPr>
              <w:snapToGrid w:val="0"/>
              <w:spacing w:line="360" w:lineRule="auto"/>
              <w:rPr>
                <w:rFonts w:hint="eastAsia"/>
                <w:lang w:val="en-US" w:eastAsia="zh-CN"/>
              </w:rPr>
            </w:pPr>
            <w:r>
              <w:rPr>
                <w:rFonts w:hint="eastAsia"/>
                <w:lang w:val="en-US" w:eastAsia="zh-CN"/>
              </w:rPr>
              <w:t>2.火灾事故发生率为0</w:t>
            </w:r>
            <w:r>
              <w:rPr>
                <w:rFonts w:hint="eastAsia"/>
                <w:lang w:val="en-US" w:eastAsia="zh-CN"/>
              </w:rPr>
              <w:tab/>
            </w:r>
            <w:r>
              <w:rPr>
                <w:rFonts w:hint="eastAsia"/>
                <w:lang w:val="en-US" w:eastAsia="zh-CN"/>
              </w:rPr>
              <w:t xml:space="preserve">                考核期内统计</w:t>
            </w:r>
            <w:r>
              <w:rPr>
                <w:rFonts w:hint="eastAsia"/>
                <w:lang w:val="en-US" w:eastAsia="zh-CN"/>
              </w:rPr>
              <w:tab/>
            </w:r>
            <w:r>
              <w:rPr>
                <w:rFonts w:hint="eastAsia"/>
                <w:lang w:val="en-US" w:eastAsia="zh-CN"/>
              </w:rPr>
              <w:t>0</w:t>
            </w:r>
          </w:p>
          <w:p>
            <w:pPr>
              <w:snapToGrid w:val="0"/>
              <w:spacing w:line="360" w:lineRule="auto"/>
              <w:rPr>
                <w:rFonts w:hint="eastAsia" w:eastAsia="宋体"/>
                <w:lang w:val="en-US" w:eastAsia="zh-CN"/>
              </w:rPr>
            </w:pPr>
            <w:r>
              <w:rPr>
                <w:rFonts w:hint="eastAsia"/>
                <w:lang w:val="en-US" w:eastAsia="zh-CN"/>
              </w:rPr>
              <w:t>3．重大安全事故发生率为0</w:t>
            </w:r>
            <w:r>
              <w:rPr>
                <w:rFonts w:hint="eastAsia"/>
                <w:lang w:val="en-US" w:eastAsia="zh-CN"/>
              </w:rPr>
              <w:tab/>
            </w:r>
            <w:r>
              <w:rPr>
                <w:rFonts w:hint="eastAsia"/>
                <w:lang w:val="en-US" w:eastAsia="zh-CN"/>
              </w:rPr>
              <w:t xml:space="preserve">        考核期内统计</w:t>
            </w:r>
            <w:r>
              <w:rPr>
                <w:rFonts w:hint="eastAsia"/>
                <w:lang w:val="en-US" w:eastAsia="zh-CN"/>
              </w:rPr>
              <w:tab/>
            </w:r>
            <w:r>
              <w:rPr>
                <w:rFonts w:hint="eastAsia"/>
                <w:lang w:val="en-US" w:eastAsia="zh-CN"/>
              </w:rPr>
              <w:t>0</w:t>
            </w:r>
          </w:p>
          <w:p>
            <w:pPr>
              <w:pStyle w:val="2"/>
              <w:rPr>
                <w:rFonts w:hint="eastAsia" w:asciiTheme="minorEastAsia" w:hAnsiTheme="minorEastAsia" w:eastAsiaTheme="minorEastAsia" w:cstheme="minorEastAsia"/>
                <w:sz w:val="21"/>
                <w:szCs w:val="21"/>
                <w:lang w:eastAsia="zh-CN"/>
              </w:rPr>
            </w:pPr>
            <w:r>
              <w:rPr>
                <w:rFonts w:hint="eastAsia" w:ascii="宋体" w:hAnsi="宋体"/>
                <w:sz w:val="21"/>
                <w:szCs w:val="21"/>
                <w:lang w:val="en-US" w:eastAsia="zh-CN"/>
              </w:rPr>
              <w:t>编制/日期:魏苹2021/12/20              审批/日期:吕振东2021/12/20</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E:6.1.2</w:t>
            </w:r>
          </w:p>
        </w:tc>
        <w:tc>
          <w:tcPr>
            <w:tcW w:w="10004" w:type="dxa"/>
            <w:vAlign w:val="top"/>
          </w:tcPr>
          <w:p>
            <w:pPr>
              <w:tabs>
                <w:tab w:val="center" w:pos="3169"/>
              </w:tabs>
              <w:spacing w:line="360" w:lineRule="auto"/>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360" w:lineRule="auto"/>
              <w:jc w:val="left"/>
              <w:rPr>
                <w:rFonts w:ascii="宋体" w:hAnsi="宋体" w:cs="宋体"/>
                <w:szCs w:val="21"/>
              </w:rPr>
            </w:pPr>
            <w:r>
              <w:rPr>
                <w:rFonts w:hint="eastAsia" w:ascii="宋体" w:hAnsi="宋体" w:cs="宋体"/>
                <w:szCs w:val="21"/>
                <w:lang w:eastAsia="zh-CN"/>
              </w:rPr>
              <w:t>总经办</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日组织了各个部门开展了环境因素的识别工作。</w:t>
            </w:r>
          </w:p>
          <w:p>
            <w:pPr>
              <w:tabs>
                <w:tab w:val="center" w:pos="3169"/>
              </w:tabs>
              <w:spacing w:line="360" w:lineRule="auto"/>
              <w:jc w:val="left"/>
              <w:rPr>
                <w:rFonts w:ascii="宋体" w:hAnsi="宋体" w:cs="宋体"/>
                <w:szCs w:val="21"/>
              </w:rPr>
            </w:pPr>
            <w:r>
              <w:rPr>
                <w:rFonts w:hint="eastAsia" w:ascii="宋体" w:hAnsi="宋体" w:cs="宋体"/>
                <w:szCs w:val="21"/>
              </w:rPr>
              <w:t>查见：《环境因素</w:t>
            </w:r>
            <w:r>
              <w:rPr>
                <w:rFonts w:hint="eastAsia" w:ascii="宋体" w:hAnsi="宋体" w:cs="宋体"/>
                <w:szCs w:val="21"/>
                <w:lang w:val="en-US" w:eastAsia="zh-CN"/>
              </w:rPr>
              <w:t>调查</w:t>
            </w:r>
            <w:r>
              <w:rPr>
                <w:rFonts w:hint="eastAsia" w:ascii="宋体" w:hAnsi="宋体" w:cs="宋体"/>
                <w:szCs w:val="21"/>
              </w:rPr>
              <w:t>、评价表》和《重要环境因素清单》，按照部门和作业场所进行识别并评价出公司重要环境因素有</w:t>
            </w:r>
            <w:r>
              <w:rPr>
                <w:rFonts w:hint="eastAsia" w:ascii="宋体" w:hAnsi="宋体" w:cs="宋体"/>
                <w:szCs w:val="21"/>
                <w:lang w:val="en-US" w:eastAsia="zh-CN"/>
              </w:rPr>
              <w:t>1</w:t>
            </w:r>
            <w:r>
              <w:rPr>
                <w:rFonts w:hint="eastAsia" w:ascii="宋体" w:hAnsi="宋体" w:cs="宋体"/>
                <w:szCs w:val="21"/>
              </w:rPr>
              <w:t>固体废弃物（含危废）、</w:t>
            </w:r>
            <w:r>
              <w:rPr>
                <w:rFonts w:hint="eastAsia" w:ascii="宋体" w:hAnsi="宋体" w:cs="宋体"/>
                <w:szCs w:val="21"/>
                <w:lang w:val="en-US" w:eastAsia="zh-CN"/>
              </w:rPr>
              <w:t>2</w:t>
            </w:r>
            <w:r>
              <w:rPr>
                <w:rFonts w:hint="eastAsia" w:ascii="宋体" w:hAnsi="宋体" w:cs="宋体"/>
                <w:szCs w:val="21"/>
              </w:rPr>
              <w:t>潜在火灾和爆炸、</w:t>
            </w:r>
            <w:r>
              <w:rPr>
                <w:rFonts w:hint="eastAsia" w:ascii="宋体" w:hAnsi="宋体" w:cs="宋体"/>
                <w:szCs w:val="21"/>
                <w:lang w:val="en-US" w:eastAsia="zh-CN"/>
              </w:rPr>
              <w:t>3</w:t>
            </w:r>
            <w:r>
              <w:rPr>
                <w:rFonts w:hint="eastAsia" w:ascii="宋体" w:hAnsi="宋体" w:cs="宋体"/>
                <w:szCs w:val="21"/>
              </w:rPr>
              <w:t>废气</w:t>
            </w:r>
            <w:r>
              <w:rPr>
                <w:rFonts w:hint="eastAsia" w:ascii="宋体" w:hAnsi="宋体" w:cs="宋体"/>
                <w:szCs w:val="21"/>
                <w:lang w:val="en-US" w:eastAsia="zh-CN"/>
              </w:rPr>
              <w:t>的排放</w:t>
            </w:r>
            <w:r>
              <w:rPr>
                <w:rFonts w:hint="eastAsia" w:ascii="宋体" w:hAnsi="宋体" w:cs="宋体"/>
                <w:szCs w:val="21"/>
              </w:rPr>
              <w:t>等，识别清楚、准确，评价合理。</w:t>
            </w:r>
          </w:p>
          <w:p>
            <w:pPr>
              <w:tabs>
                <w:tab w:val="center" w:pos="3169"/>
              </w:tabs>
              <w:spacing w:line="360" w:lineRule="auto"/>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总经办</w:t>
            </w:r>
            <w:r>
              <w:rPr>
                <w:rFonts w:hint="eastAsia" w:ascii="宋体" w:hAnsi="宋体" w:cs="宋体"/>
                <w:szCs w:val="21"/>
              </w:rPr>
              <w:t>及办公区域的《环境因素调查、评价表》，涉及以下内容：</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电的消耗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办公用品的消耗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水的消耗</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空调氟利昂泄漏</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生活污水的排放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废墨盒、硒、色带鼓的排放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废复印纸的排放</w:t>
            </w:r>
          </w:p>
          <w:p>
            <w:pPr>
              <w:tabs>
                <w:tab w:val="center" w:pos="3169"/>
              </w:tabs>
              <w:spacing w:line="360" w:lineRule="auto"/>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旧日光灯管的废弃</w:t>
            </w:r>
          </w:p>
          <w:p>
            <w:pPr>
              <w:tabs>
                <w:tab w:val="center" w:pos="3169"/>
              </w:tabs>
              <w:spacing w:line="360" w:lineRule="auto"/>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旧电池的废弃</w:t>
            </w:r>
          </w:p>
          <w:p>
            <w:pPr>
              <w:spacing w:line="360" w:lineRule="auto"/>
              <w:ind w:firstLine="420" w:firstLineChars="200"/>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宋体"/>
                <w:szCs w:val="21"/>
              </w:rPr>
              <w:t>共计识别</w:t>
            </w:r>
            <w:r>
              <w:rPr>
                <w:rFonts w:hint="eastAsia" w:ascii="宋体" w:hAnsi="宋体" w:cs="宋体"/>
                <w:szCs w:val="21"/>
                <w:lang w:val="en-US" w:eastAsia="zh-CN"/>
              </w:rPr>
              <w:t>14</w:t>
            </w:r>
            <w:r>
              <w:rPr>
                <w:rFonts w:hint="eastAsia" w:ascii="宋体" w:hAnsi="宋体" w:cs="宋体"/>
                <w:szCs w:val="21"/>
              </w:rPr>
              <w:t>项。识别基本清楚、全面。</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sz w:val="21"/>
                <w:szCs w:val="21"/>
              </w:rPr>
              <w:t xml:space="preserve">8.1  </w:t>
            </w:r>
          </w:p>
        </w:tc>
        <w:tc>
          <w:tcPr>
            <w:tcW w:w="10004" w:type="dxa"/>
            <w:vAlign w:val="top"/>
          </w:tcPr>
          <w:p>
            <w:pPr>
              <w:spacing w:line="360" w:lineRule="auto"/>
            </w:pP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360" w:lineRule="auto"/>
            </w:pPr>
            <w:r>
              <w:rPr>
                <w:rFonts w:hint="eastAsia"/>
              </w:rPr>
              <w:t xml:space="preserve"> ◆根据过程的运行准则，组织实施资源能源的消耗控制火灾预防、职业健康安全事故防范等过程的控制，避免和减少了环境职业健康安全的损失。</w:t>
            </w:r>
          </w:p>
          <w:p>
            <w:pPr>
              <w:spacing w:line="360" w:lineRule="auto"/>
            </w:pPr>
            <w:r>
              <w:rPr>
                <w:rFonts w:hint="eastAsia"/>
              </w:rPr>
              <w:t xml:space="preserve"> ◆消防设施检查、节能降耗运行检查、火灾预防运行检查、安全环境检查等关键运行控制信息的证据都以记录或文件的方式保留。</w:t>
            </w:r>
          </w:p>
          <w:p>
            <w:pPr>
              <w:spacing w:line="360" w:lineRule="auto"/>
            </w:pPr>
            <w:r>
              <w:rPr>
                <w:rFonts w:hint="eastAsia"/>
              </w:rPr>
              <w:t xml:space="preserve"> ◆抽查环境运行的策划与控制实施</w:t>
            </w:r>
          </w:p>
          <w:p>
            <w:pPr>
              <w:spacing w:line="360" w:lineRule="auto"/>
            </w:pPr>
            <w:r>
              <w:rPr>
                <w:rFonts w:hint="eastAsia"/>
              </w:rPr>
              <w:t>1）固体废弃物排放的管控：</w:t>
            </w:r>
          </w:p>
          <w:p>
            <w:pPr>
              <w:pStyle w:val="12"/>
              <w:spacing w:line="360" w:lineRule="auto"/>
              <w:ind w:firstLine="420" w:firstLineChars="200"/>
              <w:jc w:val="left"/>
              <w:rPr>
                <w:rFonts w:hint="eastAsia"/>
                <w:lang w:eastAsia="zh-CN"/>
              </w:rPr>
            </w:pPr>
            <w:r>
              <w:rPr>
                <w:rFonts w:hint="eastAsia"/>
              </w:rPr>
              <w:t>生活垃圾在办公区域集中收集后，由物业管理交环卫部门统一定期清运</w:t>
            </w:r>
            <w:r>
              <w:rPr>
                <w:rFonts w:hint="eastAsia"/>
                <w:lang w:val="en-US" w:eastAsia="zh-CN"/>
              </w:rPr>
              <w:t>。</w:t>
            </w:r>
          </w:p>
          <w:p>
            <w:pPr>
              <w:pStyle w:val="12"/>
              <w:spacing w:line="360" w:lineRule="auto"/>
              <w:ind w:firstLine="0" w:firstLineChars="0"/>
            </w:pPr>
            <w:r>
              <w:rPr>
                <w:rFonts w:hint="eastAsia"/>
              </w:rPr>
              <w:t>2）资源、能源消耗管控：</w:t>
            </w:r>
          </w:p>
          <w:p>
            <w:pPr>
              <w:spacing w:line="360" w:lineRule="auto"/>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lang w:eastAsia="zh-CN"/>
              </w:rPr>
              <w:t>总经办</w:t>
            </w:r>
            <w:r>
              <w:rPr>
                <w:rFonts w:hint="eastAsia"/>
              </w:rPr>
              <w:t>集中统计跟进。统计内容包括：水，电消耗费用，纸张、灭火器材等费用</w:t>
            </w:r>
            <w:r>
              <w:rPr>
                <w:rFonts w:hint="eastAsia"/>
                <w:lang w:eastAsia="zh-CN"/>
              </w:rPr>
              <w:t>，</w:t>
            </w:r>
            <w:r>
              <w:rPr>
                <w:rFonts w:hint="eastAsia"/>
              </w:rPr>
              <w:t>基本达成目标。</w:t>
            </w:r>
          </w:p>
          <w:p>
            <w:pPr>
              <w:spacing w:line="360" w:lineRule="auto"/>
            </w:pPr>
            <w:r>
              <w:rPr>
                <w:rFonts w:hint="eastAsia"/>
              </w:rPr>
              <w:t>3）火灾事故</w:t>
            </w:r>
            <w:r>
              <w:rPr>
                <w:rFonts w:hint="eastAsia"/>
                <w:lang w:val="en-US" w:eastAsia="zh-CN"/>
              </w:rPr>
              <w:t>管控</w:t>
            </w:r>
            <w:r>
              <w:rPr>
                <w:rFonts w:hint="eastAsia"/>
              </w:rPr>
              <w:t>：</w:t>
            </w:r>
          </w:p>
          <w:p>
            <w:pPr>
              <w:spacing w:line="360" w:lineRule="auto"/>
              <w:rPr>
                <w:rFonts w:hint="eastAsia"/>
              </w:rPr>
            </w:pPr>
            <w:r>
              <w:rPr>
                <w:rFonts w:hint="eastAsia"/>
              </w:rPr>
              <w:t>1.落实消防工作责任制，严格管理。</w:t>
            </w:r>
          </w:p>
          <w:p>
            <w:pPr>
              <w:spacing w:line="360" w:lineRule="auto"/>
              <w:rPr>
                <w:rFonts w:hint="eastAsia"/>
              </w:rPr>
            </w:pPr>
            <w:r>
              <w:rPr>
                <w:rFonts w:hint="eastAsia"/>
              </w:rPr>
              <w:t>2.厂区加强检查、巡视，发现隐患及时采取纠正和预防措施。</w:t>
            </w:r>
          </w:p>
          <w:p>
            <w:pPr>
              <w:spacing w:line="360" w:lineRule="auto"/>
              <w:rPr>
                <w:rFonts w:hint="eastAsia"/>
              </w:rPr>
            </w:pPr>
            <w:r>
              <w:rPr>
                <w:rFonts w:hint="eastAsia"/>
              </w:rPr>
              <w:t>3.每月对消防设施进行检查，发现不合格消防设施及时更新。</w:t>
            </w:r>
          </w:p>
          <w:p>
            <w:pPr>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rPr>
              <w:t>4.加强对员工防火意识教育，严禁在禁止吸烟处吸烟。</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pPr>
            <w:r>
              <w:rPr>
                <w:rFonts w:hint="eastAsia"/>
              </w:rPr>
              <w:t>查见：《</w:t>
            </w:r>
            <w:r>
              <w:rPr>
                <w:rFonts w:hint="eastAsia"/>
                <w:lang w:val="en-US" w:eastAsia="zh-CN"/>
              </w:rPr>
              <w:t>消防安全管理程序</w:t>
            </w:r>
            <w:r>
              <w:rPr>
                <w:rFonts w:hint="eastAsia"/>
              </w:rPr>
              <w:t>》、《消防应急预案》等。</w:t>
            </w:r>
          </w:p>
          <w:p>
            <w:pPr>
              <w:spacing w:line="360" w:lineRule="auto"/>
            </w:pPr>
            <w:r>
              <w:rPr>
                <w:rFonts w:hint="eastAsia"/>
              </w:rPr>
              <w:t>查见：消防演练实况记录：公司全体人员参加了20</w:t>
            </w:r>
            <w:r>
              <w:rPr>
                <w:rFonts w:hint="eastAsia"/>
                <w:lang w:val="en-US" w:eastAsia="zh-CN"/>
              </w:rPr>
              <w:t>22年1</w:t>
            </w:r>
            <w:r>
              <w:rPr>
                <w:rFonts w:hint="eastAsia"/>
              </w:rPr>
              <w:t>月</w:t>
            </w:r>
            <w:r>
              <w:rPr>
                <w:rFonts w:hint="eastAsia"/>
                <w:lang w:val="en-US" w:eastAsia="zh-CN"/>
              </w:rPr>
              <w:t>22</w:t>
            </w:r>
            <w:r>
              <w:rPr>
                <w:rFonts w:hint="eastAsia"/>
              </w:rPr>
              <w:t>日在公司由</w:t>
            </w:r>
            <w:r>
              <w:rPr>
                <w:rFonts w:hint="eastAsia"/>
                <w:lang w:eastAsia="zh-CN"/>
              </w:rPr>
              <w:t>总经办</w:t>
            </w:r>
            <w:r>
              <w:rPr>
                <w:rFonts w:hint="eastAsia"/>
              </w:rPr>
              <w:t>组织的因公司办公室火灾演练。</w:t>
            </w:r>
          </w:p>
          <w:p>
            <w:pPr>
              <w:spacing w:line="360" w:lineRule="auto"/>
              <w:ind w:firstLine="210" w:firstLineChars="100"/>
              <w:rPr>
                <w:rFonts w:hint="eastAsia"/>
              </w:rPr>
            </w:pPr>
            <w:r>
              <w:rPr>
                <w:rFonts w:hint="eastAsia"/>
              </w:rPr>
              <w:t>现场能提供演练记录及消防安全演习总结报告。通过演练，检验了公司应对突发事件的能力、以及公司火灾事故应急预案的可操作性。有效降低事故危害，减少事故损失，确保公司安全、健康、有序的发展等。</w:t>
            </w:r>
          </w:p>
          <w:p>
            <w:pPr>
              <w:pStyle w:val="2"/>
              <w:rPr>
                <w:rFonts w:hint="eastAsia"/>
              </w:rPr>
            </w:pPr>
            <w:r>
              <w:rPr>
                <w:rFonts w:hint="eastAsia"/>
              </w:rPr>
              <w:t>应急准备：在公司办公区域，按要求配置灭火器。</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2021年9月9日进行触电应急演练，有计划，演练后形成演习报告，有实施记录、有总结：本次触电演练使员工对造成事故原因“改正不良作业习惯”有了清醒的认识，同时现场工人了解了触电的危害、触电的基本应对措施和故障排除方法，使各个应急小组协同应急得到了提升；起到了很好的预防效果，总的来讲是比较成功的。</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通过本次演习，验证了公司应急程序的可行性与适宜性，对应急文件的评审结论通过。</w:t>
            </w:r>
          </w:p>
          <w:p>
            <w:pPr>
              <w:spacing w:line="360" w:lineRule="auto"/>
              <w:jc w:val="left"/>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s="宋体" w:asciiTheme="minorEastAsia" w:hAnsiTheme="minorEastAsia" w:eastAsiaTheme="minorEastAsia"/>
                <w:szCs w:val="21"/>
                <w:lang w:val="en-US" w:eastAsia="zh-CN"/>
              </w:rPr>
              <w:t>自体系运行以来尚未发生紧急情况。</w:t>
            </w:r>
          </w:p>
        </w:tc>
        <w:tc>
          <w:tcPr>
            <w:tcW w:w="1585" w:type="dxa"/>
          </w:tcPr>
          <w:p>
            <w:pPr>
              <w:spacing w:line="360" w:lineRule="auto"/>
            </w:pPr>
            <w:r>
              <w:t>Y</w:t>
            </w:r>
          </w:p>
        </w:tc>
      </w:tr>
    </w:tbl>
    <w:p>
      <w:pPr>
        <w:pStyle w:val="4"/>
        <w:rPr>
          <w:rFonts w:hint="eastAsia"/>
        </w:rPr>
      </w:pPr>
      <w:r>
        <w:rPr>
          <w:rFonts w:hint="eastAsia"/>
        </w:rPr>
        <w:t>说明：不符合标注N</w:t>
      </w:r>
    </w:p>
    <w:p>
      <w:bookmarkStart w:id="0" w:name="_GoBack"/>
      <w:bookmarkEnd w:id="0"/>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24087"/>
    <w:multiLevelType w:val="singleLevel"/>
    <w:tmpl w:val="788240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311A7"/>
    <w:rsid w:val="52836540"/>
    <w:rsid w:val="55B90957"/>
    <w:rsid w:val="74623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2022-02-23T03:27:53Z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