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甘肃春宇印务有限公司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甘肃省兰州市安宁区安宁西路520号（兰州四十四中学巷口）</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甘肃省兰州市安宁区安宁西路520号（兰州四十四中学巷口）</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李明芳</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17726942601</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359447328@qq.com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pPr>
              <w:rPr>
                <w:rFonts w:hint="eastAsia" w:eastAsia="宋体"/>
                <w:lang w:val="en-US" w:eastAsia="zh-CN"/>
              </w:rPr>
            </w:pPr>
            <w:bookmarkStart w:id="6" w:name="最高管理者"/>
            <w:bookmarkEnd w:id="6"/>
            <w:r>
              <w:rPr>
                <w:rFonts w:hint="eastAsia"/>
                <w:lang w:val="en-US" w:eastAsia="zh-CN"/>
              </w:rPr>
              <w:t>魏苹</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0078-2022-EO</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r>
              <w:rPr>
                <w:rFonts w:hint="eastAsia" w:ascii="宋体" w:hAnsi="宋体"/>
                <w:b/>
                <w:bCs/>
                <w:sz w:val="20"/>
              </w:rPr>
              <w:sym w:font="Wingdings 2" w:char="0052"/>
            </w: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18" w:name="二阶段勾选"/>
            <w:r>
              <w:rPr>
                <w:rFonts w:hint="eastAsia" w:ascii="宋体" w:hAnsi="宋体"/>
                <w:b/>
                <w:bCs/>
                <w:sz w:val="20"/>
                <w:szCs w:val="22"/>
              </w:rPr>
              <w:t>■</w:t>
            </w:r>
            <w:bookmarkEnd w:id="18"/>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19" w:name="再认证勾选Add1"/>
            <w:r>
              <w:rPr>
                <w:rFonts w:hint="eastAsia" w:ascii="宋体" w:hAnsi="宋体"/>
                <w:b/>
                <w:bCs/>
                <w:sz w:val="20"/>
                <w:szCs w:val="22"/>
              </w:rPr>
              <w:t>□</w:t>
            </w:r>
            <w:bookmarkEnd w:id="19"/>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0" w:name="特殊审核勾选"/>
            <w:r>
              <w:rPr>
                <w:rFonts w:hint="eastAsia" w:ascii="宋体" w:hAnsi="宋体"/>
                <w:b/>
                <w:bCs/>
                <w:sz w:val="20"/>
                <w:szCs w:val="22"/>
              </w:rPr>
              <w:t>□</w:t>
            </w:r>
            <w:bookmarkEnd w:id="20"/>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1" w:name="审核范围"/>
            <w:r>
              <w:rPr>
                <w:sz w:val="20"/>
              </w:rPr>
              <w:t>E：</w:t>
            </w:r>
            <w:r>
              <w:rPr>
                <w:rFonts w:hint="eastAsia"/>
                <w:sz w:val="20"/>
              </w:rPr>
              <w:t>出版物、包装装潢印刷品及其他印刷品印刷所涉及场所的相关环境管理活动</w:t>
            </w:r>
          </w:p>
          <w:p>
            <w:pPr>
              <w:rPr>
                <w:sz w:val="20"/>
              </w:rPr>
            </w:pPr>
            <w:r>
              <w:rPr>
                <w:sz w:val="20"/>
              </w:rPr>
              <w:t>O：出版物、包装装潢印刷品及其他印刷品印刷所涉及场所的相关职业健康安全管理活动</w:t>
            </w:r>
            <w:bookmarkEnd w:id="21"/>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2" w:name="专业代码"/>
            <w:r>
              <w:rPr>
                <w:sz w:val="20"/>
              </w:rPr>
              <w:t>E：09.01.02</w:t>
            </w:r>
          </w:p>
          <w:p>
            <w:pPr>
              <w:jc w:val="left"/>
              <w:rPr>
                <w:sz w:val="20"/>
              </w:rPr>
            </w:pPr>
            <w:r>
              <w:rPr>
                <w:sz w:val="20"/>
              </w:rPr>
              <w:t>O：09.01.02</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3" w:name="Q勾选Add1"/>
            <w:r>
              <w:rPr>
                <w:rFonts w:hint="eastAsia" w:ascii="宋体" w:hAnsi="宋体"/>
                <w:b/>
                <w:sz w:val="21"/>
                <w:szCs w:val="21"/>
              </w:rPr>
              <w:t>□</w:t>
            </w:r>
            <w:bookmarkEnd w:id="23"/>
            <w:r>
              <w:rPr>
                <w:rFonts w:hint="eastAsia" w:ascii="宋体" w:hAnsi="宋体"/>
                <w:b/>
                <w:sz w:val="21"/>
                <w:szCs w:val="21"/>
              </w:rPr>
              <w:t xml:space="preserve">GB/T19001-2016/ISO 9001:2015   </w:t>
            </w:r>
            <w:bookmarkStart w:id="24" w:name="QJ勾选"/>
            <w:r>
              <w:rPr>
                <w:rFonts w:hint="eastAsia" w:ascii="宋体" w:hAnsi="宋体"/>
                <w:b/>
                <w:sz w:val="21"/>
                <w:szCs w:val="21"/>
              </w:rPr>
              <w:t>□</w:t>
            </w:r>
            <w:bookmarkEnd w:id="24"/>
            <w:r>
              <w:rPr>
                <w:rFonts w:hint="eastAsia" w:ascii="宋体" w:hAnsi="宋体"/>
                <w:b/>
                <w:sz w:val="21"/>
                <w:szCs w:val="21"/>
              </w:rPr>
              <w:t>GB/T 50430-2017</w:t>
            </w:r>
            <w:bookmarkStart w:id="25" w:name="E勾选Add1"/>
            <w:r>
              <w:rPr>
                <w:rFonts w:hint="eastAsia" w:ascii="宋体" w:hAnsi="宋体"/>
                <w:b/>
                <w:sz w:val="21"/>
                <w:szCs w:val="21"/>
              </w:rPr>
              <w:t>■</w:t>
            </w:r>
            <w:bookmarkEnd w:id="25"/>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6" w:name="S勾选"/>
            <w:r>
              <w:rPr>
                <w:rFonts w:hint="eastAsia" w:ascii="宋体" w:hAnsi="宋体"/>
                <w:b/>
                <w:sz w:val="21"/>
                <w:szCs w:val="21"/>
              </w:rPr>
              <w:t>■</w:t>
            </w:r>
            <w:bookmarkEnd w:id="26"/>
            <w:r>
              <w:rPr>
                <w:rFonts w:hint="eastAsia" w:ascii="宋体" w:hAnsi="宋体"/>
                <w:b/>
                <w:sz w:val="21"/>
                <w:szCs w:val="21"/>
              </w:rPr>
              <w:t xml:space="preserve">GB/T45001-2020/ISO45001：2020标准 </w:t>
            </w:r>
            <w:bookmarkStart w:id="27" w:name="F勾选Add1"/>
            <w:r>
              <w:rPr>
                <w:rFonts w:hint="eastAsia" w:ascii="宋体" w:hAnsi="宋体"/>
                <w:b/>
                <w:sz w:val="21"/>
                <w:szCs w:val="21"/>
              </w:rPr>
              <w:t>□</w:t>
            </w:r>
            <w:bookmarkEnd w:id="27"/>
            <w:r>
              <w:rPr>
                <w:rFonts w:hint="eastAsia" w:ascii="宋体" w:hAnsi="宋体"/>
                <w:b/>
                <w:sz w:val="21"/>
                <w:szCs w:val="21"/>
              </w:rPr>
              <w:t xml:space="preserve">ISO 22000:2018 </w:t>
            </w:r>
          </w:p>
          <w:p>
            <w:pPr>
              <w:jc w:val="left"/>
              <w:rPr>
                <w:rFonts w:ascii="宋体" w:hAnsi="宋体"/>
                <w:b/>
                <w:sz w:val="21"/>
                <w:szCs w:val="21"/>
              </w:rPr>
            </w:pPr>
            <w:bookmarkStart w:id="28" w:name="H勾选Add1"/>
            <w:r>
              <w:rPr>
                <w:rFonts w:hint="eastAsia" w:ascii="宋体" w:hAnsi="宋体"/>
                <w:b/>
                <w:sz w:val="21"/>
                <w:szCs w:val="21"/>
              </w:rPr>
              <w:t>□</w:t>
            </w:r>
            <w:bookmarkEnd w:id="28"/>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29" w:name="EnMS勾选Add1"/>
            <w:r>
              <w:rPr>
                <w:rFonts w:hint="eastAsia" w:ascii="宋体" w:hAnsi="宋体"/>
                <w:b/>
                <w:sz w:val="21"/>
                <w:szCs w:val="21"/>
              </w:rPr>
              <w:t>□</w:t>
            </w:r>
            <w:bookmarkEnd w:id="29"/>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0" w:name="审核日期"/>
            <w:r>
              <w:rPr>
                <w:rFonts w:hint="eastAsia"/>
                <w:b/>
                <w:sz w:val="20"/>
              </w:rPr>
              <w:t>2022年02月22日 上午至2022年02月23日 下午</w:t>
            </w:r>
            <w:bookmarkEnd w:id="30"/>
            <w:r>
              <w:rPr>
                <w:rFonts w:hint="eastAsia"/>
                <w:b/>
                <w:sz w:val="20"/>
              </w:rPr>
              <w:t>(共</w:t>
            </w:r>
            <w:bookmarkStart w:id="31" w:name="审核天数"/>
            <w:r>
              <w:rPr>
                <w:rFonts w:hint="eastAsia"/>
                <w:b/>
                <w:sz w:val="20"/>
              </w:rPr>
              <w:t>2.0</w:t>
            </w:r>
            <w:bookmarkEnd w:id="31"/>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rFonts w:hint="eastAsia" w:eastAsia="宋体"/>
                <w:sz w:val="20"/>
                <w:lang w:val="en-US" w:eastAsia="zh-CN"/>
              </w:rPr>
            </w:pPr>
            <w:r>
              <w:rPr>
                <w:sz w:val="20"/>
                <w:lang w:val="de-DE"/>
              </w:rPr>
              <w:t>强兴</w:t>
            </w:r>
            <w:r>
              <w:rPr>
                <w:rFonts w:hint="eastAsia"/>
                <w:sz w:val="20"/>
                <w:lang w:val="en-US" w:eastAsia="zh-CN"/>
              </w:rPr>
              <w:t>A</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2020-N1EMS-1263375</w:t>
            </w:r>
          </w:p>
          <w:p>
            <w:pPr>
              <w:jc w:val="center"/>
              <w:rPr>
                <w:sz w:val="20"/>
                <w:lang w:val="de-DE"/>
              </w:rPr>
            </w:pPr>
            <w:r>
              <w:rPr>
                <w:sz w:val="20"/>
                <w:lang w:val="de-DE"/>
              </w:rPr>
              <w:t>2021-N1OHSMS-1263375</w:t>
            </w:r>
          </w:p>
        </w:tc>
        <w:tc>
          <w:tcPr>
            <w:tcW w:w="1696" w:type="dxa"/>
            <w:gridSpan w:val="2"/>
            <w:vAlign w:val="center"/>
          </w:tcPr>
          <w:p>
            <w:pPr>
              <w:jc w:val="center"/>
              <w:rPr>
                <w:sz w:val="20"/>
                <w:lang w:val="de-DE"/>
              </w:rPr>
            </w:pPr>
          </w:p>
        </w:tc>
        <w:tc>
          <w:tcPr>
            <w:tcW w:w="1299" w:type="dxa"/>
            <w:gridSpan w:val="4"/>
            <w:vAlign w:val="center"/>
          </w:tcPr>
          <w:p>
            <w:pPr>
              <w:jc w:val="center"/>
              <w:rPr>
                <w:sz w:val="20"/>
                <w:lang w:val="de-DE"/>
              </w:rPr>
            </w:pPr>
            <w:r>
              <w:rPr>
                <w:sz w:val="20"/>
                <w:lang w:val="de-DE"/>
              </w:rPr>
              <w:t>15353547891</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rFonts w:hint="eastAsia" w:eastAsia="宋体"/>
                <w:sz w:val="20"/>
                <w:lang w:val="en-US" w:eastAsia="zh-CN"/>
              </w:rPr>
            </w:pPr>
            <w:r>
              <w:rPr>
                <w:sz w:val="20"/>
                <w:lang w:val="de-DE"/>
              </w:rPr>
              <w:t>陈琦</w:t>
            </w:r>
            <w:r>
              <w:rPr>
                <w:rFonts w:hint="eastAsia"/>
                <w:sz w:val="20"/>
                <w:lang w:val="en-US" w:eastAsia="zh-CN"/>
              </w:rPr>
              <w:t>B</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2021-N0EMS-1212288</w:t>
            </w:r>
          </w:p>
          <w:p>
            <w:pPr>
              <w:jc w:val="center"/>
              <w:rPr>
                <w:sz w:val="20"/>
                <w:lang w:val="de-DE"/>
              </w:rPr>
            </w:pPr>
            <w:r>
              <w:rPr>
                <w:sz w:val="20"/>
                <w:lang w:val="de-DE"/>
              </w:rPr>
              <w:t>2021-N0OHSMS-1212288</w:t>
            </w:r>
          </w:p>
        </w:tc>
        <w:tc>
          <w:tcPr>
            <w:tcW w:w="1696" w:type="dxa"/>
            <w:gridSpan w:val="2"/>
            <w:vAlign w:val="center"/>
          </w:tcPr>
          <w:p>
            <w:pPr>
              <w:jc w:val="center"/>
              <w:rPr>
                <w:sz w:val="20"/>
                <w:lang w:val="de-DE"/>
              </w:rPr>
            </w:pPr>
          </w:p>
        </w:tc>
        <w:tc>
          <w:tcPr>
            <w:tcW w:w="1299" w:type="dxa"/>
            <w:gridSpan w:val="4"/>
            <w:vAlign w:val="center"/>
          </w:tcPr>
          <w:p>
            <w:pPr>
              <w:jc w:val="center"/>
              <w:rPr>
                <w:sz w:val="20"/>
                <w:lang w:val="de-DE"/>
              </w:rPr>
            </w:pPr>
            <w:r>
              <w:rPr>
                <w:sz w:val="20"/>
                <w:lang w:val="de-DE"/>
              </w:rPr>
              <w:t>13811922580</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rFonts w:hint="eastAsia" w:eastAsia="宋体"/>
                <w:sz w:val="20"/>
                <w:lang w:val="en-US" w:eastAsia="zh-CN"/>
              </w:rPr>
            </w:pPr>
            <w:r>
              <w:rPr>
                <w:sz w:val="20"/>
                <w:lang w:val="de-DE"/>
              </w:rPr>
              <w:t>郭力</w:t>
            </w:r>
            <w:r>
              <w:rPr>
                <w:rFonts w:hint="eastAsia"/>
                <w:sz w:val="20"/>
                <w:lang w:val="en-US" w:eastAsia="zh-CN"/>
              </w:rPr>
              <w:t>C</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2020-N1EMS-1263290</w:t>
            </w:r>
          </w:p>
          <w:p>
            <w:pPr>
              <w:jc w:val="center"/>
              <w:rPr>
                <w:sz w:val="20"/>
                <w:lang w:val="de-DE"/>
              </w:rPr>
            </w:pPr>
            <w:r>
              <w:rPr>
                <w:sz w:val="20"/>
                <w:lang w:val="de-DE"/>
              </w:rPr>
              <w:t>ISC[S]0372</w:t>
            </w:r>
          </w:p>
          <w:p>
            <w:pPr>
              <w:jc w:val="center"/>
              <w:rPr>
                <w:sz w:val="20"/>
                <w:lang w:val="de-DE"/>
              </w:rPr>
            </w:pPr>
            <w:r>
              <w:rPr>
                <w:sz w:val="20"/>
                <w:lang w:val="de-DE"/>
              </w:rPr>
              <w:t>北京国标联合认证有限公司</w:t>
            </w:r>
          </w:p>
        </w:tc>
        <w:tc>
          <w:tcPr>
            <w:tcW w:w="1696" w:type="dxa"/>
            <w:gridSpan w:val="2"/>
            <w:vAlign w:val="center"/>
          </w:tcPr>
          <w:p>
            <w:pPr>
              <w:jc w:val="center"/>
              <w:rPr>
                <w:sz w:val="20"/>
                <w:lang w:val="de-DE"/>
              </w:rPr>
            </w:pPr>
            <w:r>
              <w:rPr>
                <w:sz w:val="20"/>
                <w:lang w:val="de-DE"/>
              </w:rPr>
              <w:t>E:09.01.02</w:t>
            </w:r>
          </w:p>
          <w:p>
            <w:pPr>
              <w:jc w:val="center"/>
              <w:rPr>
                <w:sz w:val="20"/>
                <w:lang w:val="de-DE"/>
              </w:rPr>
            </w:pPr>
            <w:r>
              <w:rPr>
                <w:sz w:val="20"/>
                <w:lang w:val="de-DE"/>
              </w:rPr>
              <w:t>O:09.01.02</w:t>
            </w:r>
          </w:p>
        </w:tc>
        <w:tc>
          <w:tcPr>
            <w:tcW w:w="1299" w:type="dxa"/>
            <w:gridSpan w:val="4"/>
            <w:vAlign w:val="center"/>
          </w:tcPr>
          <w:p>
            <w:pPr>
              <w:jc w:val="center"/>
              <w:rPr>
                <w:sz w:val="20"/>
                <w:lang w:val="de-DE"/>
              </w:rPr>
            </w:pPr>
            <w:r>
              <w:rPr>
                <w:sz w:val="20"/>
                <w:lang w:val="de-DE"/>
              </w:rPr>
              <w:t>18429080135</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pPr>
              <w:rPr>
                <w:rFonts w:hint="default" w:ascii="Times New Roman" w:hAnsi="Times New Roman" w:eastAsia="宋体" w:cs="Times New Roman"/>
                <w:kern w:val="2"/>
                <w:sz w:val="24"/>
                <w:lang w:val="en-US" w:eastAsia="zh-CN" w:bidi="ar-SA"/>
              </w:rPr>
            </w:pPr>
            <w:r>
              <w:rPr>
                <w:rFonts w:hint="eastAsia"/>
                <w:lang w:val="en-US" w:eastAsia="zh-CN"/>
              </w:rPr>
              <w:t>技术专家</w:t>
            </w:r>
          </w:p>
        </w:tc>
        <w:tc>
          <w:tcPr>
            <w:tcW w:w="1350" w:type="dxa"/>
            <w:vAlign w:val="center"/>
          </w:tcPr>
          <w:p>
            <w:pPr>
              <w:rPr>
                <w:rFonts w:ascii="Times New Roman" w:hAnsi="Times New Roman" w:eastAsia="宋体" w:cs="Times New Roman"/>
                <w:kern w:val="2"/>
                <w:sz w:val="24"/>
                <w:lang w:val="en-US" w:eastAsia="zh-CN" w:bidi="ar-SA"/>
              </w:rPr>
            </w:pPr>
            <w:r>
              <w:rPr>
                <w:sz w:val="21"/>
                <w:szCs w:val="21"/>
              </w:rPr>
              <w:t>郭力</w:t>
            </w:r>
          </w:p>
        </w:tc>
        <w:tc>
          <w:tcPr>
            <w:tcW w:w="948" w:type="dxa"/>
            <w:vAlign w:val="center"/>
          </w:tcPr>
          <w:p>
            <w:pPr>
              <w:rPr>
                <w:rFonts w:hint="eastAsia" w:ascii="Times New Roman" w:hAnsi="Times New Roman" w:eastAsia="宋体" w:cs="Times New Roman"/>
                <w:kern w:val="2"/>
                <w:sz w:val="24"/>
                <w:lang w:val="en-US" w:eastAsia="zh-CN" w:bidi="ar-SA"/>
              </w:rPr>
            </w:pPr>
            <w:r>
              <w:rPr>
                <w:rFonts w:hint="eastAsia"/>
                <w:lang w:val="en-US" w:eastAsia="zh-CN"/>
              </w:rPr>
              <w:t>男</w:t>
            </w:r>
          </w:p>
        </w:tc>
        <w:tc>
          <w:tcPr>
            <w:tcW w:w="1502" w:type="dxa"/>
            <w:gridSpan w:val="2"/>
            <w:vAlign w:val="center"/>
          </w:tcPr>
          <w:p>
            <w:pPr>
              <w:rPr>
                <w:rFonts w:ascii="Times New Roman" w:hAnsi="Times New Roman" w:eastAsia="宋体" w:cs="Times New Roman"/>
                <w:kern w:val="2"/>
                <w:sz w:val="24"/>
                <w:lang w:val="en-US" w:eastAsia="zh-CN" w:bidi="ar-SA"/>
              </w:rPr>
            </w:pPr>
            <w:r>
              <w:rPr>
                <w:sz w:val="21"/>
                <w:szCs w:val="21"/>
              </w:rPr>
              <w:t>北京国标联合认证有限公司</w:t>
            </w:r>
          </w:p>
        </w:tc>
        <w:tc>
          <w:tcPr>
            <w:tcW w:w="1004" w:type="dxa"/>
            <w:vAlign w:val="center"/>
          </w:tcPr>
          <w:p>
            <w:pPr>
              <w:rPr>
                <w:rFonts w:hint="default" w:ascii="Times New Roman" w:hAnsi="Times New Roman" w:eastAsia="宋体" w:cs="Times New Roman"/>
                <w:kern w:val="2"/>
                <w:sz w:val="24"/>
                <w:lang w:val="en-US" w:eastAsia="zh-CN" w:bidi="ar-SA"/>
              </w:rPr>
            </w:pPr>
          </w:p>
        </w:tc>
        <w:tc>
          <w:tcPr>
            <w:tcW w:w="1696" w:type="dxa"/>
            <w:gridSpan w:val="2"/>
            <w:vAlign w:val="center"/>
          </w:tcPr>
          <w:p>
            <w:pPr>
              <w:jc w:val="center"/>
              <w:rPr>
                <w:rFonts w:ascii="Times New Roman" w:hAnsi="Times New Roman" w:eastAsia="宋体" w:cs="Times New Roman"/>
                <w:kern w:val="2"/>
                <w:sz w:val="24"/>
                <w:lang w:val="en-US" w:eastAsia="zh-CN" w:bidi="ar-SA"/>
              </w:rPr>
            </w:pPr>
            <w:r>
              <w:rPr>
                <w:sz w:val="21"/>
                <w:szCs w:val="21"/>
              </w:rPr>
              <w:t>ISC[S]0372</w:t>
            </w:r>
          </w:p>
        </w:tc>
        <w:tc>
          <w:tcPr>
            <w:tcW w:w="1299" w:type="dxa"/>
            <w:gridSpan w:val="4"/>
            <w:vAlign w:val="center"/>
          </w:tcPr>
          <w:p>
            <w:pPr>
              <w:rPr>
                <w:rFonts w:ascii="Times New Roman" w:hAnsi="Times New Roman" w:eastAsia="宋体" w:cs="Times New Roman"/>
                <w:kern w:val="2"/>
                <w:sz w:val="24"/>
                <w:lang w:val="en-US" w:eastAsia="zh-CN" w:bidi="ar-SA"/>
              </w:rPr>
            </w:pPr>
          </w:p>
        </w:tc>
        <w:tc>
          <w:tcPr>
            <w:tcW w:w="1380" w:type="dxa"/>
            <w:vAlign w:val="center"/>
          </w:tcPr>
          <w:p>
            <w:pPr>
              <w:rPr>
                <w:rFonts w:ascii="Times New Roman" w:hAnsi="Times New Roman" w:eastAsia="宋体" w:cs="Times New Roman"/>
                <w:kern w:val="2"/>
                <w:sz w:val="24"/>
                <w:lang w:val="en-US" w:eastAsia="zh-CN" w:bidi="ar-SA"/>
              </w:rPr>
            </w:pPr>
            <w:r>
              <w:rPr>
                <w:sz w:val="21"/>
                <w:szCs w:val="21"/>
              </w:rPr>
              <w:t>18429080135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强兴</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rFonts w:hint="default" w:eastAsia="宋体"/>
                <w:sz w:val="21"/>
                <w:szCs w:val="21"/>
                <w:lang w:val="en-US" w:eastAsia="zh-CN"/>
              </w:rPr>
            </w:pPr>
            <w:r>
              <w:rPr>
                <w:rFonts w:hint="eastAsia"/>
                <w:sz w:val="21"/>
                <w:szCs w:val="21"/>
                <w:lang w:val="en-US" w:eastAsia="zh-CN"/>
              </w:rPr>
              <w:t>李凤娟</w:t>
            </w:r>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15353547891</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2022.2.20</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2022.2.20</w:t>
            </w: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r>
              <w:rPr>
                <w:rFonts w:hint="eastAsia"/>
                <w:sz w:val="21"/>
                <w:szCs w:val="21"/>
                <w:lang w:val="en-US" w:eastAsia="zh-CN"/>
              </w:rPr>
              <w:t>2022.2.20</w:t>
            </w:r>
          </w:p>
        </w:tc>
      </w:tr>
    </w:tbl>
    <w:p/>
    <w:p>
      <w:pPr>
        <w:pStyle w:val="2"/>
      </w:pPr>
    </w:p>
    <w:p>
      <w:pPr>
        <w:pStyle w:val="2"/>
      </w:pPr>
    </w:p>
    <w:tbl>
      <w:tblPr>
        <w:tblStyle w:val="6"/>
        <w:tblpPr w:leftFromText="180" w:rightFromText="180" w:vertAnchor="text" w:horzAnchor="page" w:tblpX="893" w:tblpY="392"/>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32"/>
        <w:gridCol w:w="1122"/>
        <w:gridCol w:w="3"/>
        <w:gridCol w:w="6012"/>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12"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33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125" w:type="dxa"/>
            <w:gridSpan w:val="2"/>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601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过程涉及条款</w:t>
            </w:r>
          </w:p>
        </w:tc>
        <w:tc>
          <w:tcPr>
            <w:tcW w:w="1039" w:type="dxa"/>
            <w:tcBorders>
              <w:right w:val="single" w:color="auto" w:sz="8" w:space="0"/>
            </w:tcBorders>
            <w:vAlign w:val="center"/>
          </w:tcPr>
          <w:p>
            <w:pPr>
              <w:snapToGrid w:val="0"/>
              <w:spacing w:line="280" w:lineRule="exact"/>
              <w:jc w:val="both"/>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2" w:type="dxa"/>
            <w:vMerge w:val="restart"/>
            <w:tcBorders>
              <w:left w:val="single" w:color="auto" w:sz="8" w:space="0"/>
            </w:tcBorders>
            <w:vAlign w:val="center"/>
          </w:tcPr>
          <w:p>
            <w:pPr>
              <w:snapToGrid w:val="0"/>
              <w:spacing w:line="320" w:lineRule="exact"/>
              <w:rPr>
                <w:rFonts w:hint="default"/>
                <w:lang w:val="en-US" w:eastAsia="zh-CN"/>
              </w:rPr>
            </w:pPr>
            <w:r>
              <w:rPr>
                <w:rFonts w:hint="eastAsia"/>
                <w:lang w:val="en-US" w:eastAsia="zh-CN"/>
              </w:rPr>
              <w:t>2022.2.22</w:t>
            </w:r>
          </w:p>
          <w:p>
            <w:pPr>
              <w:snapToGrid w:val="0"/>
              <w:spacing w:line="320" w:lineRule="exact"/>
              <w:rPr>
                <w:rFonts w:hint="eastAsia" w:ascii="宋体" w:hAnsi="宋体" w:cs="宋体"/>
                <w:b/>
                <w:bCs w:val="0"/>
                <w:sz w:val="21"/>
                <w:szCs w:val="21"/>
                <w:lang w:val="en-US" w:eastAsia="zh-CN"/>
              </w:rPr>
            </w:pPr>
            <w:r>
              <w:rPr>
                <w:rFonts w:hint="eastAsia" w:ascii="宋体" w:hAnsi="宋体"/>
                <w:b/>
                <w:bCs/>
                <w:sz w:val="21"/>
                <w:szCs w:val="21"/>
                <w:lang w:val="en-US" w:eastAsia="zh-CN"/>
              </w:rPr>
              <w:t>(</w:t>
            </w:r>
            <w:r>
              <w:rPr>
                <w:rFonts w:hint="eastAsia" w:ascii="宋体" w:hAnsi="宋体" w:cs="宋体"/>
                <w:b/>
                <w:bCs w:val="0"/>
                <w:sz w:val="21"/>
                <w:szCs w:val="21"/>
                <w:lang w:val="en-US" w:eastAsia="zh-CN"/>
              </w:rPr>
              <w:t>午餐</w:t>
            </w:r>
            <w:r>
              <w:rPr>
                <w:rFonts w:hint="eastAsia"/>
                <w:b/>
                <w:bCs/>
                <w:sz w:val="21"/>
                <w:szCs w:val="21"/>
                <w:lang w:val="en-US" w:eastAsia="zh-CN"/>
              </w:rPr>
              <w:t>12</w:t>
            </w:r>
            <w:r>
              <w:rPr>
                <w:rFonts w:hint="eastAsia" w:ascii="宋体" w:hAnsi="宋体" w:eastAsia="宋体" w:cs="宋体"/>
                <w:b/>
                <w:bCs w:val="0"/>
                <w:sz w:val="21"/>
                <w:szCs w:val="21"/>
                <w:lang w:val="en-US" w:eastAsia="zh-CN"/>
              </w:rPr>
              <w:t>：</w:t>
            </w:r>
            <w:r>
              <w:rPr>
                <w:rFonts w:hint="eastAsia" w:ascii="宋体" w:hAnsi="宋体" w:cs="宋体"/>
                <w:b/>
                <w:bCs w:val="0"/>
                <w:sz w:val="21"/>
                <w:szCs w:val="21"/>
                <w:lang w:val="en-US" w:eastAsia="zh-CN"/>
              </w:rPr>
              <w:t>0</w:t>
            </w:r>
            <w:r>
              <w:rPr>
                <w:rFonts w:hint="eastAsia" w:ascii="宋体" w:hAnsi="宋体" w:eastAsia="宋体" w:cs="宋体"/>
                <w:b/>
                <w:bCs w:val="0"/>
                <w:sz w:val="21"/>
                <w:szCs w:val="21"/>
                <w:lang w:val="en-US" w:eastAsia="zh-CN"/>
              </w:rPr>
              <w:t>0-1</w:t>
            </w:r>
            <w:r>
              <w:rPr>
                <w:rFonts w:hint="eastAsia" w:ascii="宋体" w:hAnsi="宋体" w:cs="宋体"/>
                <w:b/>
                <w:bCs w:val="0"/>
                <w:sz w:val="21"/>
                <w:szCs w:val="21"/>
                <w:lang w:val="en-US" w:eastAsia="zh-CN"/>
              </w:rPr>
              <w:t>3</w:t>
            </w:r>
            <w:r>
              <w:rPr>
                <w:rFonts w:hint="eastAsia" w:ascii="宋体" w:hAnsi="宋体" w:eastAsia="宋体" w:cs="宋体"/>
                <w:b/>
                <w:bCs w:val="0"/>
                <w:sz w:val="21"/>
                <w:szCs w:val="21"/>
                <w:lang w:val="en-US" w:eastAsia="zh-CN"/>
              </w:rPr>
              <w:t>：00</w:t>
            </w:r>
          </w:p>
          <w:p>
            <w:pPr>
              <w:pStyle w:val="2"/>
              <w:rPr>
                <w:rFonts w:hint="default"/>
                <w:lang w:val="en-US" w:eastAsia="zh-CN"/>
              </w:rPr>
            </w:pPr>
            <w:r>
              <w:rPr>
                <w:rFonts w:hint="eastAsia" w:ascii="宋体" w:hAnsi="宋体"/>
                <w:b/>
                <w:bCs/>
                <w:sz w:val="21"/>
                <w:szCs w:val="21"/>
                <w:lang w:val="en-US" w:eastAsia="zh-CN"/>
              </w:rPr>
              <w:t>)</w:t>
            </w:r>
          </w:p>
        </w:tc>
        <w:tc>
          <w:tcPr>
            <w:tcW w:w="1332"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r>
              <w:rPr>
                <w:rFonts w:hint="eastAsia" w:ascii="宋体" w:hAnsi="宋体"/>
                <w:b/>
                <w:bCs/>
                <w:sz w:val="21"/>
                <w:szCs w:val="21"/>
                <w:lang w:val="en-US" w:eastAsia="zh-CN"/>
              </w:rPr>
              <w:t>-9：00</w:t>
            </w:r>
          </w:p>
        </w:tc>
        <w:tc>
          <w:tcPr>
            <w:tcW w:w="1125" w:type="dxa"/>
            <w:gridSpan w:val="2"/>
          </w:tcPr>
          <w:p>
            <w:pPr>
              <w:spacing w:line="300" w:lineRule="exact"/>
              <w:rPr>
                <w:rFonts w:ascii="宋体" w:hAnsi="宋体"/>
                <w:b/>
                <w:bCs/>
                <w:sz w:val="21"/>
                <w:szCs w:val="21"/>
              </w:rPr>
            </w:pPr>
          </w:p>
        </w:tc>
        <w:tc>
          <w:tcPr>
            <w:tcW w:w="6012" w:type="dxa"/>
          </w:tcPr>
          <w:p>
            <w:pPr>
              <w:spacing w:line="300" w:lineRule="exact"/>
              <w:jc w:val="center"/>
              <w:rPr>
                <w:rFonts w:ascii="宋体" w:hAnsi="宋体"/>
                <w:b/>
                <w:bCs/>
                <w:sz w:val="21"/>
                <w:szCs w:val="21"/>
              </w:rPr>
            </w:pPr>
            <w:r>
              <w:rPr>
                <w:rFonts w:hint="eastAsia" w:ascii="宋体" w:hAnsi="宋体"/>
                <w:b/>
                <w:bCs/>
                <w:sz w:val="21"/>
                <w:szCs w:val="21"/>
              </w:rPr>
              <w:t>首次会议</w:t>
            </w:r>
          </w:p>
        </w:tc>
        <w:tc>
          <w:tcPr>
            <w:tcW w:w="1039"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12" w:type="dxa"/>
            <w:vMerge w:val="continue"/>
            <w:tcBorders>
              <w:left w:val="single" w:color="auto" w:sz="8" w:space="0"/>
            </w:tcBorders>
          </w:tcPr>
          <w:p>
            <w:pPr>
              <w:snapToGrid w:val="0"/>
              <w:spacing w:line="320" w:lineRule="exact"/>
              <w:rPr>
                <w:rFonts w:ascii="宋体" w:hAnsi="宋体"/>
                <w:b/>
                <w:bCs/>
                <w:sz w:val="21"/>
                <w:szCs w:val="21"/>
              </w:rPr>
            </w:pPr>
          </w:p>
        </w:tc>
        <w:tc>
          <w:tcPr>
            <w:tcW w:w="1332" w:type="dxa"/>
            <w:vAlign w:val="center"/>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9：00-12：</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p>
        </w:tc>
        <w:tc>
          <w:tcPr>
            <w:tcW w:w="1125" w:type="dxa"/>
            <w:gridSpan w:val="2"/>
          </w:tcPr>
          <w:p>
            <w:pPr>
              <w:spacing w:line="300" w:lineRule="exact"/>
              <w:rPr>
                <w:rFonts w:hint="default" w:ascii="宋体" w:hAnsi="宋体" w:eastAsia="宋体"/>
                <w:b/>
                <w:bCs/>
                <w:sz w:val="21"/>
                <w:szCs w:val="21"/>
                <w:lang w:val="en-US" w:eastAsia="zh-CN"/>
              </w:rPr>
            </w:pPr>
            <w:r>
              <w:rPr>
                <w:rFonts w:hint="eastAsia" w:ascii="宋体" w:hAnsi="宋体"/>
                <w:b/>
                <w:bCs/>
                <w:sz w:val="21"/>
                <w:szCs w:val="21"/>
              </w:rPr>
              <w:t>领导层</w:t>
            </w:r>
            <w:r>
              <w:rPr>
                <w:rFonts w:hint="eastAsia" w:ascii="宋体" w:hAnsi="宋体"/>
                <w:b/>
                <w:bCs/>
                <w:sz w:val="21"/>
                <w:szCs w:val="21"/>
                <w:lang w:eastAsia="zh-CN"/>
              </w:rPr>
              <w:t>、</w:t>
            </w:r>
            <w:r>
              <w:rPr>
                <w:rFonts w:hint="eastAsia" w:ascii="宋体" w:hAnsi="宋体"/>
                <w:b/>
                <w:bCs/>
                <w:sz w:val="21"/>
                <w:szCs w:val="21"/>
                <w:lang w:val="en-US" w:eastAsia="zh-CN"/>
              </w:rPr>
              <w:t>安全事务代表</w:t>
            </w:r>
          </w:p>
        </w:tc>
        <w:tc>
          <w:tcPr>
            <w:tcW w:w="6012" w:type="dxa"/>
          </w:tcPr>
          <w:p>
            <w:pPr>
              <w:spacing w:line="300" w:lineRule="exact"/>
              <w:rPr>
                <w:rFonts w:ascii="宋体" w:hAnsi="宋体" w:cs="新宋体"/>
                <w:sz w:val="18"/>
                <w:szCs w:val="18"/>
              </w:rPr>
            </w:pPr>
            <w:r>
              <w:rPr>
                <w:rFonts w:hint="eastAsia"/>
                <w:sz w:val="21"/>
                <w:szCs w:val="21"/>
              </w:rPr>
              <w:t>管理层：</w:t>
            </w:r>
          </w:p>
          <w:p>
            <w:pPr>
              <w:snapToGrid w:val="0"/>
              <w:spacing w:line="240" w:lineRule="exact"/>
              <w:rPr>
                <w:rFonts w:hint="eastAsia"/>
                <w:b w:val="0"/>
                <w:bCs w:val="0"/>
                <w:sz w:val="20"/>
                <w:lang w:val="de-DE"/>
              </w:rPr>
            </w:pPr>
            <w:r>
              <w:rPr>
                <w:rFonts w:hint="eastAsia"/>
                <w:b w:val="0"/>
                <w:bCs w:val="0"/>
                <w:sz w:val="20"/>
                <w:lang w:val="de-DE"/>
              </w:rPr>
              <w:t>EMS</w:t>
            </w:r>
            <w:r>
              <w:rPr>
                <w:rFonts w:hint="eastAsia"/>
                <w:b w:val="0"/>
                <w:bCs w:val="0"/>
                <w:sz w:val="20"/>
                <w:lang w:val="en-US" w:eastAsia="zh-CN"/>
              </w:rPr>
              <w:t>/OMS:</w:t>
            </w:r>
            <w:r>
              <w:rPr>
                <w:rFonts w:hint="eastAsia"/>
                <w:b w:val="0"/>
                <w:bCs w:val="0"/>
                <w:sz w:val="20"/>
                <w:lang w:val="de-DE"/>
              </w:rPr>
              <w:t xml:space="preserve">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w:t>
            </w:r>
            <w:r>
              <w:rPr>
                <w:rFonts w:hint="eastAsia" w:ascii="宋体" w:hAnsi="宋体" w:cs="新宋体"/>
                <w:sz w:val="18"/>
                <w:szCs w:val="18"/>
                <w:lang w:eastAsia="zh-CN"/>
              </w:rPr>
              <w:t>（</w:t>
            </w:r>
            <w:r>
              <w:rPr>
                <w:rFonts w:hint="eastAsia" w:ascii="宋体" w:hAnsi="宋体" w:cs="新宋体"/>
                <w:sz w:val="18"/>
                <w:szCs w:val="18"/>
                <w:lang w:val="en-US" w:eastAsia="zh-CN"/>
              </w:rPr>
              <w:t>O</w:t>
            </w:r>
            <w:r>
              <w:rPr>
                <w:rFonts w:hint="eastAsia" w:ascii="宋体" w:hAnsi="宋体" w:cs="新宋体"/>
                <w:sz w:val="18"/>
                <w:szCs w:val="18"/>
                <w:lang w:eastAsia="zh-CN"/>
              </w:rPr>
              <w:t>）</w:t>
            </w:r>
            <w:r>
              <w:rPr>
                <w:rFonts w:hint="eastAsia" w:ascii="宋体" w:hAnsi="宋体" w:cs="新宋体"/>
                <w:sz w:val="18"/>
                <w:szCs w:val="18"/>
              </w:rPr>
              <w:t>5.4员工参与和协商； 6.1.1策划总则；6.1.4措施的策划；6.2目标及其实现的策划；7.1资</w:t>
            </w:r>
            <w:r>
              <w:rPr>
                <w:rFonts w:hint="eastAsia" w:ascii="宋体" w:hAnsi="宋体" w:eastAsia="宋体" w:cs="新宋体"/>
                <w:sz w:val="18"/>
                <w:szCs w:val="18"/>
              </w:rPr>
              <w:t>源；7.4沟通/信息交流、9.3管理</w:t>
            </w:r>
            <w:r>
              <w:rPr>
                <w:rFonts w:hint="eastAsia" w:ascii="宋体" w:hAnsi="宋体" w:cs="新宋体"/>
                <w:sz w:val="18"/>
                <w:szCs w:val="18"/>
              </w:rPr>
              <w:t>评审；10.1改进 总则；10.3持续改进。</w:t>
            </w:r>
          </w:p>
          <w:p>
            <w:pPr>
              <w:ind w:firstLine="360" w:firstLineChars="200"/>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4.1组织及其环境;4.2相关方需求与期望;4.3确定体系范围;4.4体系;5.1领导作用与承诺;5.2方针;5.3组织的角色、职责和权限；5.4员工参与和协商；6.1应对风险和机遇的措施6.1.4措施的策划；6.2目标及其实现的策划；7.1资</w:t>
            </w:r>
            <w:r>
              <w:rPr>
                <w:rFonts w:hint="eastAsia" w:ascii="宋体" w:hAnsi="宋体" w:eastAsia="宋体" w:cs="新宋体"/>
                <w:sz w:val="18"/>
                <w:szCs w:val="18"/>
              </w:rPr>
              <w:t>源；7.4沟通/信息交流、9</w:t>
            </w:r>
            <w:r>
              <w:rPr>
                <w:rFonts w:hint="eastAsia" w:ascii="宋体" w:hAnsi="宋体" w:cs="新宋体"/>
                <w:sz w:val="18"/>
                <w:szCs w:val="18"/>
              </w:rPr>
              <w:t>.3管理评审；10.1事件、不符合和纠正措施；10.3持续改进。</w:t>
            </w:r>
          </w:p>
          <w:p>
            <w:pPr>
              <w:ind w:firstLine="396" w:firstLineChars="200"/>
              <w:rPr>
                <w:rFonts w:ascii="宋体" w:cs="Arial"/>
                <w:spacing w:val="-6"/>
                <w:sz w:val="21"/>
                <w:szCs w:val="21"/>
              </w:rPr>
            </w:pPr>
            <w:r>
              <w:rPr>
                <w:rFonts w:hint="eastAsia" w:ascii="宋体" w:hAnsi="宋体" w:cs="Arial"/>
                <w:spacing w:val="-6"/>
                <w:sz w:val="21"/>
                <w:szCs w:val="21"/>
              </w:rPr>
              <w:t>国家</w:t>
            </w:r>
            <w:r>
              <w:rPr>
                <w:rFonts w:ascii="宋体" w:hAnsi="宋体" w:cs="Arial"/>
                <w:spacing w:val="-6"/>
                <w:sz w:val="21"/>
                <w:szCs w:val="21"/>
              </w:rPr>
              <w:t>/</w:t>
            </w:r>
            <w:r>
              <w:rPr>
                <w:rFonts w:hint="eastAsia" w:ascii="宋体" w:hAnsi="宋体" w:cs="Arial"/>
                <w:spacing w:val="-6"/>
                <w:sz w:val="21"/>
                <w:szCs w:val="21"/>
              </w:rPr>
              <w:t>地方监督抽查情况；顾客满意、相关方投诉及处理情况；一阶段问题验证</w:t>
            </w:r>
          </w:p>
          <w:p>
            <w:pPr>
              <w:spacing w:line="300" w:lineRule="exact"/>
              <w:jc w:val="left"/>
              <w:rPr>
                <w:rFonts w:ascii="宋体" w:hAnsi="宋体"/>
                <w:b/>
                <w:bCs/>
                <w:sz w:val="21"/>
                <w:szCs w:val="21"/>
              </w:rPr>
            </w:pPr>
            <w:r>
              <w:rPr>
                <w:rFonts w:hint="eastAsia" w:ascii="宋体" w:hAnsi="宋体" w:cs="Arial"/>
                <w:spacing w:val="-6"/>
                <w:sz w:val="21"/>
                <w:szCs w:val="21"/>
              </w:rPr>
              <w:t>验证企业相关资质证明的有效性；</w:t>
            </w:r>
            <w:r>
              <w:rPr>
                <w:rFonts w:ascii="宋体" w:hAnsi="宋体" w:cs="Arial"/>
                <w:sz w:val="21"/>
                <w:szCs w:val="21"/>
              </w:rPr>
              <w:t xml:space="preserve"> </w:t>
            </w:r>
          </w:p>
        </w:tc>
        <w:tc>
          <w:tcPr>
            <w:tcW w:w="1039" w:type="dxa"/>
            <w:tcBorders>
              <w:right w:val="single" w:color="auto" w:sz="8" w:space="0"/>
            </w:tcBorders>
          </w:tcPr>
          <w:p>
            <w:pPr>
              <w:pStyle w:val="2"/>
              <w:rPr>
                <w:rFonts w:hint="default"/>
                <w:lang w:val="en-US" w:eastAsia="zh-CN"/>
              </w:rPr>
            </w:pPr>
            <w:r>
              <w:rPr>
                <w:rFonts w:hint="eastAsia"/>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812" w:type="dxa"/>
            <w:vMerge w:val="continue"/>
            <w:tcBorders>
              <w:left w:val="single" w:color="auto" w:sz="8" w:space="0"/>
            </w:tcBorders>
          </w:tcPr>
          <w:p>
            <w:pPr>
              <w:snapToGrid w:val="0"/>
              <w:spacing w:line="320" w:lineRule="exact"/>
              <w:rPr>
                <w:rFonts w:ascii="宋体" w:hAnsi="宋体"/>
                <w:b/>
                <w:bCs/>
                <w:sz w:val="21"/>
                <w:szCs w:val="21"/>
              </w:rPr>
            </w:pPr>
          </w:p>
        </w:tc>
        <w:tc>
          <w:tcPr>
            <w:tcW w:w="1332" w:type="dxa"/>
          </w:tcPr>
          <w:p>
            <w:pPr>
              <w:pStyle w:val="2"/>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9：00-12：</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p>
        </w:tc>
        <w:tc>
          <w:tcPr>
            <w:tcW w:w="1125" w:type="dxa"/>
            <w:gridSpan w:val="2"/>
            <w:vAlign w:val="top"/>
          </w:tcPr>
          <w:p>
            <w:pPr>
              <w:spacing w:line="30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总经办</w:t>
            </w:r>
          </w:p>
        </w:tc>
        <w:tc>
          <w:tcPr>
            <w:tcW w:w="6012" w:type="dxa"/>
            <w:vAlign w:val="top"/>
          </w:tcPr>
          <w:p>
            <w:pPr>
              <w:spacing w:line="28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EMS</w:t>
            </w:r>
            <w:r>
              <w:rPr>
                <w:rFonts w:hint="eastAsia" w:cs="Arial" w:asciiTheme="minorEastAsia" w:hAnsiTheme="minorEastAsia" w:eastAsiaTheme="minorEastAsia"/>
                <w:sz w:val="21"/>
                <w:szCs w:val="21"/>
                <w:lang w:val="en-US" w:eastAsia="zh-CN"/>
              </w:rPr>
              <w:t>:</w:t>
            </w:r>
            <w:r>
              <w:rPr>
                <w:rFonts w:hint="eastAsia" w:cs="Arial" w:asciiTheme="minorEastAsia" w:hAnsiTheme="minorEastAsia" w:eastAsiaTheme="minorEastAsia"/>
                <w:sz w:val="21"/>
                <w:szCs w:val="21"/>
              </w:rPr>
              <w:t xml:space="preserve"> 5.3组织的岗位、职责和权限、6.1.2环境因素/危险源的辨识与评价、6.1.3合规义务、6.2.1环境/职业健康安全目标、6.2.2实现环境/职业健康安全目标措施的策划、7.2能力、7.3意识</w:t>
            </w:r>
            <w:bookmarkStart w:id="32" w:name="_GoBack"/>
            <w:bookmarkEnd w:id="32"/>
            <w:r>
              <w:rPr>
                <w:rFonts w:hint="eastAsia" w:cs="Arial" w:asciiTheme="minorEastAsia" w:hAnsiTheme="minorEastAsia" w:eastAsiaTheme="minorEastAsia"/>
                <w:spacing w:val="-6"/>
                <w:sz w:val="21"/>
                <w:szCs w:val="21"/>
              </w:rPr>
              <w:t>、</w:t>
            </w:r>
            <w:r>
              <w:rPr>
                <w:rFonts w:hint="eastAsia" w:cs="Arial" w:asciiTheme="minorEastAsia" w:hAnsiTheme="minorEastAsia" w:eastAsiaTheme="minorEastAsia"/>
                <w:sz w:val="21"/>
                <w:szCs w:val="21"/>
              </w:rPr>
              <w:t>7.5.1形成文件的信息总则、7.5.2形成文件的信息的创建和更新、7.5.3形成文件的信息的控制、8.1运行策划和控制、8.2应急准备和响应、9.1.1监测、分析和评估总则</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9.1.2合规性评价、9.2 内部审核</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10.2</w:t>
            </w:r>
            <w:r>
              <w:rPr>
                <w:rFonts w:hint="eastAsia" w:cs="Arial" w:asciiTheme="minorEastAsia" w:hAnsiTheme="minorEastAsia" w:eastAsiaTheme="minorEastAsia"/>
                <w:sz w:val="21"/>
                <w:szCs w:val="21"/>
                <w:lang w:val="en-US" w:eastAsia="zh-CN"/>
              </w:rPr>
              <w:t>事件、不符合</w:t>
            </w:r>
            <w:r>
              <w:rPr>
                <w:rFonts w:hint="eastAsia" w:cs="Arial" w:asciiTheme="minorEastAsia" w:hAnsiTheme="minorEastAsia" w:eastAsiaTheme="minorEastAsia"/>
                <w:sz w:val="21"/>
                <w:szCs w:val="21"/>
              </w:rPr>
              <w:t>和纠正措施</w:t>
            </w:r>
            <w:r>
              <w:rPr>
                <w:rFonts w:hint="eastAsia" w:cs="Arial" w:asciiTheme="minorEastAsia" w:hAnsiTheme="minorEastAsia" w:eastAsiaTheme="minorEastAsia"/>
                <w:sz w:val="21"/>
                <w:szCs w:val="21"/>
                <w:lang w:val="en-US" w:eastAsia="zh-CN"/>
              </w:rPr>
              <w:t>.</w:t>
            </w:r>
          </w:p>
          <w:p>
            <w:pPr>
              <w:spacing w:line="300" w:lineRule="exact"/>
              <w:rPr>
                <w:rFonts w:ascii="宋体" w:hAnsi="宋体" w:cs="Arial"/>
                <w:sz w:val="21"/>
                <w:szCs w:val="21"/>
              </w:rPr>
            </w:pPr>
            <w:r>
              <w:rPr>
                <w:rFonts w:hint="eastAsia" w:cs="Arial" w:asciiTheme="minorEastAsia" w:hAnsiTheme="minorEastAsia" w:eastAsiaTheme="minorEastAsia"/>
                <w:sz w:val="21"/>
                <w:szCs w:val="21"/>
              </w:rPr>
              <w:t>EMS运行控制相关财务支出证据</w:t>
            </w:r>
            <w:r>
              <w:rPr>
                <w:rFonts w:hint="eastAsia" w:cs="Arial" w:asciiTheme="minorEastAsia" w:hAnsiTheme="minorEastAsia" w:eastAsiaTheme="minorEastAsia"/>
                <w:sz w:val="21"/>
                <w:szCs w:val="21"/>
                <w:lang w:val="en-US" w:eastAsia="zh-CN"/>
              </w:rPr>
              <w:t>；</w:t>
            </w:r>
          </w:p>
        </w:tc>
        <w:tc>
          <w:tcPr>
            <w:tcW w:w="1039" w:type="dxa"/>
            <w:tcBorders>
              <w:right w:val="single" w:color="auto" w:sz="8" w:space="0"/>
            </w:tcBorders>
            <w:vAlign w:val="top"/>
          </w:tcPr>
          <w:p>
            <w:pPr>
              <w:pStyle w:val="2"/>
              <w:rPr>
                <w:rFonts w:hint="default" w:cs="Times New Roman"/>
                <w:bCs/>
                <w:spacing w:val="10"/>
                <w:kern w:val="2"/>
                <w:sz w:val="24"/>
                <w:lang w:val="en-US" w:eastAsia="zh-CN" w:bidi="ar-SA"/>
              </w:rPr>
            </w:pPr>
            <w:r>
              <w:rPr>
                <w:rFonts w:hint="eastAsia" w:cs="Times New Roman"/>
                <w:bCs/>
                <w:spacing w:val="10"/>
                <w:kern w:val="2"/>
                <w:sz w:val="24"/>
                <w:lang w:val="en-US" w:eastAsia="zh-CN" w:bidi="ar-SA"/>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812" w:type="dxa"/>
            <w:vMerge w:val="continue"/>
            <w:tcBorders>
              <w:left w:val="single" w:color="auto" w:sz="8" w:space="0"/>
            </w:tcBorders>
          </w:tcPr>
          <w:p>
            <w:pPr>
              <w:snapToGrid w:val="0"/>
              <w:spacing w:line="320" w:lineRule="exact"/>
              <w:rPr>
                <w:rFonts w:ascii="宋体" w:hAnsi="宋体"/>
                <w:b/>
                <w:bCs/>
                <w:sz w:val="21"/>
                <w:szCs w:val="21"/>
              </w:rPr>
            </w:pPr>
          </w:p>
        </w:tc>
        <w:tc>
          <w:tcPr>
            <w:tcW w:w="1332" w:type="dxa"/>
          </w:tcPr>
          <w:p>
            <w:pPr>
              <w:pStyle w:val="2"/>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13:00-15:30</w:t>
            </w:r>
          </w:p>
        </w:tc>
        <w:tc>
          <w:tcPr>
            <w:tcW w:w="1125" w:type="dxa"/>
            <w:gridSpan w:val="2"/>
            <w:vAlign w:val="top"/>
          </w:tcPr>
          <w:p>
            <w:pPr>
              <w:spacing w:line="300" w:lineRule="exact"/>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采购部</w:t>
            </w:r>
          </w:p>
        </w:tc>
        <w:tc>
          <w:tcPr>
            <w:tcW w:w="6012" w:type="dxa"/>
            <w:vAlign w:val="top"/>
          </w:tcPr>
          <w:p>
            <w:pPr>
              <w:spacing w:line="300" w:lineRule="exact"/>
              <w:rPr>
                <w:rFonts w:ascii="宋体" w:hAnsi="宋体" w:cs="Arial"/>
                <w:sz w:val="21"/>
                <w:szCs w:val="21"/>
              </w:rPr>
            </w:pPr>
            <w:r>
              <w:rPr>
                <w:rFonts w:ascii="宋体" w:hAnsi="宋体" w:cs="Arial"/>
                <w:sz w:val="21"/>
                <w:szCs w:val="21"/>
              </w:rPr>
              <w:t>E</w:t>
            </w:r>
            <w:r>
              <w:rPr>
                <w:rFonts w:hint="eastAsia" w:ascii="宋体" w:hAnsi="宋体" w:cs="Arial"/>
                <w:sz w:val="21"/>
                <w:szCs w:val="21"/>
                <w:lang w:val="en-US" w:eastAsia="zh-CN"/>
              </w:rPr>
              <w:t>/O</w:t>
            </w:r>
            <w:r>
              <w:rPr>
                <w:rFonts w:ascii="宋体" w:hAnsi="宋体" w:cs="Arial"/>
                <w:sz w:val="21"/>
                <w:szCs w:val="21"/>
              </w:rPr>
              <w:t>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环境与职业健康安全目标</w:t>
            </w:r>
            <w:r>
              <w:rPr>
                <w:rFonts w:hint="eastAsia" w:ascii="宋体" w:hAnsi="宋体" w:cs="Arial"/>
                <w:sz w:val="21"/>
                <w:szCs w:val="21"/>
                <w:u w:val="none"/>
              </w:rPr>
              <w:t>、</w:t>
            </w:r>
            <w:r>
              <w:rPr>
                <w:rFonts w:ascii="宋体" w:hAnsi="宋体" w:cs="Arial"/>
                <w:sz w:val="21"/>
                <w:szCs w:val="21"/>
                <w:u w:val="none"/>
              </w:rPr>
              <w:t>6.1.2</w:t>
            </w:r>
            <w:r>
              <w:rPr>
                <w:rFonts w:hint="eastAsia" w:ascii="宋体" w:hAnsi="宋体" w:cs="Arial"/>
                <w:sz w:val="21"/>
                <w:szCs w:val="21"/>
                <w:u w:val="none"/>
              </w:rPr>
              <w:t>环境因素</w:t>
            </w:r>
            <w:r>
              <w:rPr>
                <w:rFonts w:ascii="宋体" w:hAnsi="宋体" w:cs="Arial"/>
                <w:sz w:val="21"/>
                <w:szCs w:val="21"/>
                <w:u w:val="none"/>
              </w:rPr>
              <w:t>/</w:t>
            </w:r>
            <w:r>
              <w:rPr>
                <w:rFonts w:hint="eastAsia" w:ascii="宋体" w:hAnsi="宋体" w:cs="Arial"/>
                <w:sz w:val="21"/>
                <w:szCs w:val="21"/>
                <w:u w:val="none"/>
              </w:rPr>
              <w:t>危险源辨识与评价、</w:t>
            </w:r>
            <w:r>
              <w:rPr>
                <w:rFonts w:ascii="宋体" w:hAnsi="宋体" w:cs="Arial"/>
                <w:sz w:val="21"/>
                <w:szCs w:val="21"/>
                <w:u w:val="none"/>
              </w:rPr>
              <w:t>8.1</w:t>
            </w:r>
            <w:r>
              <w:rPr>
                <w:rFonts w:hint="eastAsia" w:ascii="宋体" w:hAnsi="宋体" w:cs="Arial"/>
                <w:sz w:val="21"/>
                <w:szCs w:val="21"/>
                <w:u w:val="none"/>
              </w:rPr>
              <w:t>运行策划和控制、</w:t>
            </w:r>
            <w:r>
              <w:rPr>
                <w:rFonts w:ascii="宋体" w:hAnsi="宋体" w:cs="Arial"/>
                <w:sz w:val="21"/>
                <w:szCs w:val="21"/>
              </w:rPr>
              <w:t>8.2</w:t>
            </w:r>
            <w:r>
              <w:rPr>
                <w:rFonts w:hint="eastAsia" w:ascii="宋体" w:hAnsi="宋体" w:cs="Arial"/>
                <w:sz w:val="21"/>
                <w:szCs w:val="21"/>
              </w:rPr>
              <w:t>应急准备和响应</w:t>
            </w:r>
          </w:p>
        </w:tc>
        <w:tc>
          <w:tcPr>
            <w:tcW w:w="1039" w:type="dxa"/>
            <w:tcBorders>
              <w:right w:val="single" w:color="auto" w:sz="8" w:space="0"/>
            </w:tcBorders>
            <w:vAlign w:val="top"/>
          </w:tcPr>
          <w:p>
            <w:pPr>
              <w:pStyle w:val="2"/>
              <w:rPr>
                <w:rFonts w:hint="default" w:cs="Times New Roman"/>
                <w:bCs/>
                <w:spacing w:val="10"/>
                <w:kern w:val="2"/>
                <w:sz w:val="24"/>
                <w:lang w:val="en-US" w:eastAsia="zh-CN" w:bidi="ar-SA"/>
              </w:rPr>
            </w:pPr>
            <w:r>
              <w:rPr>
                <w:rFonts w:hint="eastAsia" w:cs="Times New Roman"/>
                <w:bCs/>
                <w:spacing w:val="10"/>
                <w:kern w:val="2"/>
                <w:sz w:val="24"/>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812" w:type="dxa"/>
            <w:vMerge w:val="continue"/>
            <w:tcBorders>
              <w:left w:val="single" w:color="auto" w:sz="8" w:space="0"/>
            </w:tcBorders>
          </w:tcPr>
          <w:p>
            <w:pPr>
              <w:snapToGrid w:val="0"/>
              <w:spacing w:line="320" w:lineRule="exact"/>
              <w:rPr>
                <w:rFonts w:ascii="宋体" w:hAnsi="宋体"/>
                <w:b/>
                <w:bCs/>
                <w:sz w:val="21"/>
                <w:szCs w:val="21"/>
              </w:rPr>
            </w:pPr>
          </w:p>
        </w:tc>
        <w:tc>
          <w:tcPr>
            <w:tcW w:w="1332" w:type="dxa"/>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13:00-15:30</w:t>
            </w:r>
          </w:p>
        </w:tc>
        <w:tc>
          <w:tcPr>
            <w:tcW w:w="1125" w:type="dxa"/>
            <w:gridSpan w:val="2"/>
            <w:vAlign w:val="top"/>
          </w:tcPr>
          <w:p>
            <w:pPr>
              <w:spacing w:line="300" w:lineRule="exact"/>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生产部</w:t>
            </w:r>
          </w:p>
        </w:tc>
        <w:tc>
          <w:tcPr>
            <w:tcW w:w="6012" w:type="dxa"/>
            <w:vAlign w:val="top"/>
          </w:tcPr>
          <w:p>
            <w:pPr>
              <w:spacing w:line="300" w:lineRule="exact"/>
              <w:rPr>
                <w:rFonts w:hint="eastAsia" w:ascii="宋体" w:hAnsi="宋体" w:eastAsia="宋体" w:cs="Times New Roman"/>
                <w:b/>
                <w:bCs/>
                <w:kern w:val="2"/>
                <w:sz w:val="21"/>
                <w:szCs w:val="21"/>
                <w:lang w:val="en-US" w:eastAsia="zh-CN" w:bidi="ar-SA"/>
              </w:rPr>
            </w:pPr>
            <w:r>
              <w:rPr>
                <w:rFonts w:ascii="宋体" w:hAnsi="宋体" w:cs="Arial"/>
                <w:sz w:val="21"/>
                <w:szCs w:val="21"/>
              </w:rPr>
              <w:t>EMS: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环境与职业健康安全目标</w:t>
            </w:r>
            <w:r>
              <w:rPr>
                <w:rFonts w:hint="eastAsia" w:ascii="宋体" w:hAnsi="宋体" w:cs="Arial"/>
                <w:sz w:val="21"/>
                <w:szCs w:val="21"/>
                <w:u w:val="none"/>
              </w:rPr>
              <w:t>、</w:t>
            </w:r>
            <w:r>
              <w:rPr>
                <w:rFonts w:ascii="宋体" w:hAnsi="宋体" w:cs="Arial"/>
                <w:sz w:val="21"/>
                <w:szCs w:val="21"/>
                <w:u w:val="none"/>
              </w:rPr>
              <w:t>6.1.2</w:t>
            </w:r>
            <w:r>
              <w:rPr>
                <w:rFonts w:hint="eastAsia" w:ascii="宋体" w:hAnsi="宋体" w:cs="Arial"/>
                <w:sz w:val="21"/>
                <w:szCs w:val="21"/>
                <w:u w:val="none"/>
              </w:rPr>
              <w:t>环境因素</w:t>
            </w:r>
            <w:r>
              <w:rPr>
                <w:rFonts w:ascii="宋体" w:hAnsi="宋体" w:cs="Arial"/>
                <w:sz w:val="21"/>
                <w:szCs w:val="21"/>
                <w:u w:val="none"/>
              </w:rPr>
              <w:t>/</w:t>
            </w:r>
            <w:r>
              <w:rPr>
                <w:rFonts w:hint="eastAsia" w:ascii="宋体" w:hAnsi="宋体" w:cs="Arial"/>
                <w:sz w:val="21"/>
                <w:szCs w:val="21"/>
                <w:u w:val="none"/>
              </w:rPr>
              <w:t>危险源辨识与评价、</w:t>
            </w:r>
            <w:r>
              <w:rPr>
                <w:rFonts w:ascii="宋体" w:hAnsi="宋体" w:cs="Arial"/>
                <w:sz w:val="21"/>
                <w:szCs w:val="21"/>
                <w:u w:val="none"/>
              </w:rPr>
              <w:t>8.1</w:t>
            </w:r>
            <w:r>
              <w:rPr>
                <w:rFonts w:hint="eastAsia" w:ascii="宋体" w:hAnsi="宋体" w:cs="Arial"/>
                <w:sz w:val="21"/>
                <w:szCs w:val="21"/>
                <w:u w:val="none"/>
              </w:rPr>
              <w:t>运行策划和控制、</w:t>
            </w:r>
            <w:r>
              <w:rPr>
                <w:rFonts w:ascii="宋体" w:hAnsi="宋体" w:cs="Arial"/>
                <w:sz w:val="21"/>
                <w:szCs w:val="21"/>
              </w:rPr>
              <w:t>8.2</w:t>
            </w:r>
            <w:r>
              <w:rPr>
                <w:rFonts w:hint="eastAsia" w:ascii="宋体" w:hAnsi="宋体" w:cs="Arial"/>
                <w:sz w:val="21"/>
                <w:szCs w:val="21"/>
              </w:rPr>
              <w:t>应急准备和响应</w:t>
            </w:r>
          </w:p>
        </w:tc>
        <w:tc>
          <w:tcPr>
            <w:tcW w:w="1039" w:type="dxa"/>
            <w:tcBorders>
              <w:right w:val="single" w:color="auto" w:sz="8" w:space="0"/>
            </w:tcBorders>
            <w:vAlign w:val="top"/>
          </w:tcPr>
          <w:p>
            <w:pPr>
              <w:pStyle w:val="2"/>
              <w:rPr>
                <w:rFonts w:hint="eastAsia" w:cs="Times New Roman"/>
                <w:bCs/>
                <w:spacing w:val="10"/>
                <w:kern w:val="2"/>
                <w:sz w:val="24"/>
                <w:lang w:val="en-US" w:eastAsia="zh-CN" w:bidi="ar-SA"/>
              </w:rPr>
            </w:pPr>
            <w:r>
              <w:rPr>
                <w:rFonts w:hint="eastAsia" w:cs="Times New Roman"/>
                <w:bCs/>
                <w:spacing w:val="10"/>
                <w:kern w:val="2"/>
                <w:sz w:val="24"/>
                <w:lang w:val="en-US" w:eastAsia="zh-CN" w:bidi="ar-SA"/>
              </w:rPr>
              <w:t>B</w:t>
            </w:r>
            <w:r>
              <w:rPr>
                <w:rFonts w:hint="eastAsia" w:ascii="Times New Roman" w:hAnsi="Times New Roman" w:eastAsia="宋体" w:cs="Times New Roman"/>
                <w:bCs/>
                <w:spacing w:val="10"/>
                <w:kern w:val="2"/>
                <w:sz w:val="24"/>
                <w:lang w:val="en-US" w:eastAsia="zh-CN" w:bidi="ar-SA"/>
              </w:rPr>
              <w:t>C</w:t>
            </w:r>
          </w:p>
          <w:p>
            <w:pPr>
              <w:pStyle w:val="2"/>
              <w:rPr>
                <w:rFonts w:hint="default" w:cs="Times New Roman"/>
                <w:bCs/>
                <w:spacing w:val="10"/>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812" w:type="dxa"/>
            <w:vMerge w:val="continue"/>
            <w:tcBorders>
              <w:left w:val="single" w:color="auto" w:sz="8" w:space="0"/>
            </w:tcBorders>
          </w:tcPr>
          <w:p>
            <w:pPr>
              <w:snapToGrid w:val="0"/>
              <w:spacing w:line="320" w:lineRule="exact"/>
              <w:rPr>
                <w:rFonts w:ascii="宋体" w:hAnsi="宋体"/>
                <w:b/>
                <w:bCs/>
                <w:sz w:val="21"/>
                <w:szCs w:val="21"/>
              </w:rPr>
            </w:pPr>
          </w:p>
        </w:tc>
        <w:tc>
          <w:tcPr>
            <w:tcW w:w="1332" w:type="dxa"/>
          </w:tcPr>
          <w:p>
            <w:pPr>
              <w:pStyle w:val="2"/>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w:t>
            </w:r>
            <w:r>
              <w:rPr>
                <w:rFonts w:hint="eastAsia" w:ascii="宋体" w:hAnsi="宋体" w:cs="Times New Roman"/>
                <w:b/>
                <w:bCs/>
                <w:sz w:val="21"/>
                <w:szCs w:val="21"/>
                <w:lang w:val="en-US" w:eastAsia="zh-CN"/>
              </w:rPr>
              <w:t>5</w:t>
            </w:r>
            <w:r>
              <w:rPr>
                <w:rFonts w:hint="eastAsia" w:ascii="宋体" w:hAnsi="宋体" w:eastAsia="宋体" w:cs="Times New Roman"/>
                <w:b/>
                <w:bCs/>
                <w:sz w:val="21"/>
                <w:szCs w:val="21"/>
                <w:lang w:val="en-US" w:eastAsia="zh-CN"/>
              </w:rPr>
              <w:t>：30</w:t>
            </w:r>
            <w:r>
              <w:rPr>
                <w:rFonts w:hint="eastAsia" w:ascii="宋体" w:hAnsi="宋体" w:cs="Times New Roman"/>
                <w:b/>
                <w:bCs/>
                <w:sz w:val="21"/>
                <w:szCs w:val="21"/>
                <w:lang w:val="en-US" w:eastAsia="zh-CN"/>
              </w:rPr>
              <w:t>-17:30</w:t>
            </w:r>
          </w:p>
        </w:tc>
        <w:tc>
          <w:tcPr>
            <w:tcW w:w="1125" w:type="dxa"/>
            <w:gridSpan w:val="2"/>
            <w:vAlign w:val="top"/>
          </w:tcPr>
          <w:p>
            <w:pPr>
              <w:spacing w:line="300" w:lineRule="exact"/>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生产部</w:t>
            </w:r>
          </w:p>
        </w:tc>
        <w:tc>
          <w:tcPr>
            <w:tcW w:w="6012" w:type="dxa"/>
            <w:vAlign w:val="top"/>
          </w:tcPr>
          <w:p>
            <w:pPr>
              <w:spacing w:line="300" w:lineRule="exact"/>
              <w:rPr>
                <w:rFonts w:ascii="宋体" w:hAnsi="宋体" w:cs="Arial"/>
                <w:sz w:val="21"/>
                <w:szCs w:val="21"/>
              </w:rPr>
            </w:pPr>
            <w:r>
              <w:rPr>
                <w:rFonts w:ascii="宋体" w:hAnsi="宋体" w:cs="Arial"/>
                <w:sz w:val="21"/>
                <w:szCs w:val="21"/>
              </w:rPr>
              <w:t>OMS: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环境与职业健康安全目标</w:t>
            </w:r>
            <w:r>
              <w:rPr>
                <w:rFonts w:hint="eastAsia" w:ascii="宋体" w:hAnsi="宋体" w:cs="Arial"/>
                <w:sz w:val="21"/>
                <w:szCs w:val="21"/>
                <w:u w:val="none"/>
              </w:rPr>
              <w:t>、</w:t>
            </w:r>
            <w:r>
              <w:rPr>
                <w:rFonts w:ascii="宋体" w:hAnsi="宋体" w:cs="Arial"/>
                <w:sz w:val="21"/>
                <w:szCs w:val="21"/>
                <w:u w:val="none"/>
              </w:rPr>
              <w:t>6.1.2</w:t>
            </w:r>
            <w:r>
              <w:rPr>
                <w:rFonts w:hint="eastAsia" w:ascii="宋体" w:hAnsi="宋体" w:cs="Arial"/>
                <w:sz w:val="21"/>
                <w:szCs w:val="21"/>
                <w:u w:val="none"/>
              </w:rPr>
              <w:t>环境因素</w:t>
            </w:r>
            <w:r>
              <w:rPr>
                <w:rFonts w:ascii="宋体" w:hAnsi="宋体" w:cs="Arial"/>
                <w:sz w:val="21"/>
                <w:szCs w:val="21"/>
                <w:u w:val="none"/>
              </w:rPr>
              <w:t>/</w:t>
            </w:r>
            <w:r>
              <w:rPr>
                <w:rFonts w:hint="eastAsia" w:ascii="宋体" w:hAnsi="宋体" w:cs="Arial"/>
                <w:sz w:val="21"/>
                <w:szCs w:val="21"/>
                <w:u w:val="none"/>
              </w:rPr>
              <w:t>危险源辨识与评价、</w:t>
            </w:r>
            <w:r>
              <w:rPr>
                <w:rFonts w:ascii="宋体" w:hAnsi="宋体" w:cs="Arial"/>
                <w:sz w:val="21"/>
                <w:szCs w:val="21"/>
                <w:u w:val="none"/>
              </w:rPr>
              <w:t>8.1</w:t>
            </w:r>
            <w:r>
              <w:rPr>
                <w:rFonts w:hint="eastAsia" w:ascii="宋体" w:hAnsi="宋体" w:cs="Arial"/>
                <w:sz w:val="21"/>
                <w:szCs w:val="21"/>
                <w:u w:val="none"/>
              </w:rPr>
              <w:t>运行策划和控制、</w:t>
            </w:r>
            <w:r>
              <w:rPr>
                <w:rFonts w:ascii="宋体" w:hAnsi="宋体" w:cs="Arial"/>
                <w:sz w:val="21"/>
                <w:szCs w:val="21"/>
              </w:rPr>
              <w:t>8.2</w:t>
            </w:r>
            <w:r>
              <w:rPr>
                <w:rFonts w:hint="eastAsia" w:ascii="宋体" w:hAnsi="宋体" w:cs="Arial"/>
                <w:sz w:val="21"/>
                <w:szCs w:val="21"/>
              </w:rPr>
              <w:t>应急准备和响应</w:t>
            </w:r>
          </w:p>
        </w:tc>
        <w:tc>
          <w:tcPr>
            <w:tcW w:w="1039" w:type="dxa"/>
            <w:tcBorders>
              <w:right w:val="single" w:color="auto" w:sz="8" w:space="0"/>
            </w:tcBorders>
            <w:vAlign w:val="top"/>
          </w:tcPr>
          <w:p>
            <w:pPr>
              <w:pStyle w:val="2"/>
              <w:rPr>
                <w:rFonts w:hint="eastAsia" w:cs="Times New Roman"/>
                <w:bCs/>
                <w:spacing w:val="10"/>
                <w:kern w:val="2"/>
                <w:sz w:val="24"/>
                <w:lang w:val="en-US" w:eastAsia="zh-CN" w:bidi="ar-SA"/>
              </w:rPr>
            </w:pPr>
            <w:r>
              <w:rPr>
                <w:rFonts w:hint="eastAsia" w:cs="Times New Roman"/>
                <w:bCs/>
                <w:spacing w:val="10"/>
                <w:kern w:val="2"/>
                <w:sz w:val="24"/>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12" w:type="dxa"/>
            <w:vMerge w:val="restart"/>
            <w:tcBorders>
              <w:left w:val="single" w:color="auto" w:sz="8" w:space="0"/>
            </w:tcBorders>
          </w:tcPr>
          <w:p>
            <w:pPr>
              <w:snapToGrid w:val="0"/>
              <w:spacing w:line="320" w:lineRule="exact"/>
              <w:rPr>
                <w:rFonts w:hint="eastAsia" w:ascii="宋体" w:hAnsi="宋体" w:eastAsia="宋体"/>
                <w:b/>
                <w:bCs/>
                <w:sz w:val="21"/>
                <w:szCs w:val="21"/>
                <w:lang w:val="en-US" w:eastAsia="zh-CN"/>
              </w:rPr>
            </w:pPr>
          </w:p>
          <w:p>
            <w:pPr>
              <w:snapToGrid w:val="0"/>
              <w:spacing w:line="320" w:lineRule="exact"/>
              <w:rPr>
                <w:rFonts w:hint="eastAsia" w:ascii="宋体" w:hAnsi="宋体" w:eastAsia="宋体"/>
                <w:b/>
                <w:bCs/>
                <w:sz w:val="21"/>
                <w:szCs w:val="21"/>
                <w:lang w:val="en-US" w:eastAsia="zh-CN"/>
              </w:rPr>
            </w:pPr>
          </w:p>
          <w:p>
            <w:pPr>
              <w:snapToGrid w:val="0"/>
              <w:spacing w:line="320" w:lineRule="exact"/>
              <w:rPr>
                <w:rFonts w:hint="eastAsia" w:ascii="宋体" w:hAnsi="宋体" w:eastAsia="宋体"/>
                <w:b/>
                <w:bCs/>
                <w:sz w:val="21"/>
                <w:szCs w:val="21"/>
                <w:lang w:val="en-US" w:eastAsia="zh-CN"/>
              </w:rPr>
            </w:pPr>
          </w:p>
          <w:p>
            <w:pPr>
              <w:snapToGrid w:val="0"/>
              <w:spacing w:line="320" w:lineRule="exact"/>
              <w:rPr>
                <w:rFonts w:hint="eastAsia" w:ascii="宋体" w:hAnsi="宋体" w:cs="宋体"/>
                <w:b/>
                <w:bCs w:val="0"/>
                <w:sz w:val="21"/>
                <w:szCs w:val="21"/>
                <w:lang w:val="en-US" w:eastAsia="zh-CN"/>
              </w:rPr>
            </w:pPr>
            <w:r>
              <w:rPr>
                <w:rFonts w:hint="eastAsia" w:ascii="宋体" w:hAnsi="宋体" w:eastAsia="宋体"/>
                <w:b/>
                <w:bCs/>
                <w:sz w:val="21"/>
                <w:szCs w:val="21"/>
                <w:lang w:val="en-US" w:eastAsia="zh-CN"/>
              </w:rPr>
              <w:t>2.23</w:t>
            </w:r>
            <w:r>
              <w:rPr>
                <w:rFonts w:hint="eastAsia" w:ascii="宋体" w:hAnsi="宋体"/>
                <w:b/>
                <w:bCs/>
                <w:sz w:val="21"/>
                <w:szCs w:val="21"/>
                <w:lang w:val="en-US" w:eastAsia="zh-CN"/>
              </w:rPr>
              <w:t>(</w:t>
            </w:r>
            <w:r>
              <w:rPr>
                <w:rFonts w:hint="eastAsia" w:ascii="宋体" w:hAnsi="宋体" w:cs="宋体"/>
                <w:b/>
                <w:bCs w:val="0"/>
                <w:sz w:val="21"/>
                <w:szCs w:val="21"/>
                <w:lang w:val="en-US" w:eastAsia="zh-CN"/>
              </w:rPr>
              <w:t>午餐</w:t>
            </w:r>
            <w:r>
              <w:rPr>
                <w:rFonts w:hint="eastAsia"/>
                <w:b/>
                <w:bCs/>
                <w:sz w:val="21"/>
                <w:szCs w:val="21"/>
                <w:lang w:val="en-US" w:eastAsia="zh-CN"/>
              </w:rPr>
              <w:t>12</w:t>
            </w:r>
            <w:r>
              <w:rPr>
                <w:rFonts w:hint="eastAsia" w:ascii="宋体" w:hAnsi="宋体" w:eastAsia="宋体" w:cs="宋体"/>
                <w:b/>
                <w:bCs w:val="0"/>
                <w:sz w:val="21"/>
                <w:szCs w:val="21"/>
                <w:lang w:val="en-US" w:eastAsia="zh-CN"/>
              </w:rPr>
              <w:t>：</w:t>
            </w:r>
            <w:r>
              <w:rPr>
                <w:rFonts w:hint="eastAsia" w:ascii="宋体" w:hAnsi="宋体" w:cs="宋体"/>
                <w:b/>
                <w:bCs w:val="0"/>
                <w:sz w:val="21"/>
                <w:szCs w:val="21"/>
                <w:lang w:val="en-US" w:eastAsia="zh-CN"/>
              </w:rPr>
              <w:t>0</w:t>
            </w:r>
            <w:r>
              <w:rPr>
                <w:rFonts w:hint="eastAsia" w:ascii="宋体" w:hAnsi="宋体" w:eastAsia="宋体" w:cs="宋体"/>
                <w:b/>
                <w:bCs w:val="0"/>
                <w:sz w:val="21"/>
                <w:szCs w:val="21"/>
                <w:lang w:val="en-US" w:eastAsia="zh-CN"/>
              </w:rPr>
              <w:t>0-1</w:t>
            </w:r>
            <w:r>
              <w:rPr>
                <w:rFonts w:hint="eastAsia" w:ascii="宋体" w:hAnsi="宋体" w:cs="宋体"/>
                <w:b/>
                <w:bCs w:val="0"/>
                <w:sz w:val="21"/>
                <w:szCs w:val="21"/>
                <w:lang w:val="en-US" w:eastAsia="zh-CN"/>
              </w:rPr>
              <w:t>3</w:t>
            </w:r>
            <w:r>
              <w:rPr>
                <w:rFonts w:hint="eastAsia" w:ascii="宋体" w:hAnsi="宋体" w:eastAsia="宋体" w:cs="宋体"/>
                <w:b/>
                <w:bCs w:val="0"/>
                <w:sz w:val="21"/>
                <w:szCs w:val="21"/>
                <w:lang w:val="en-US" w:eastAsia="zh-CN"/>
              </w:rPr>
              <w:t>：00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w:t>
            </w:r>
          </w:p>
        </w:tc>
        <w:tc>
          <w:tcPr>
            <w:tcW w:w="1332" w:type="dxa"/>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sz w:val="21"/>
                <w:szCs w:val="21"/>
                <w:lang w:val="en-US" w:eastAsia="zh-CN"/>
              </w:rPr>
              <w:t>8：30-1</w:t>
            </w:r>
            <w:r>
              <w:rPr>
                <w:rFonts w:hint="eastAsia" w:ascii="宋体" w:hAnsi="宋体" w:cs="Times New Roman"/>
                <w:b/>
                <w:bCs/>
                <w:sz w:val="21"/>
                <w:szCs w:val="21"/>
                <w:lang w:val="en-US" w:eastAsia="zh-CN"/>
              </w:rPr>
              <w:t>2</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p>
        </w:tc>
        <w:tc>
          <w:tcPr>
            <w:tcW w:w="1125" w:type="dxa"/>
            <w:gridSpan w:val="2"/>
            <w:vAlign w:val="top"/>
          </w:tcPr>
          <w:p>
            <w:pPr>
              <w:spacing w:line="30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总经办</w:t>
            </w:r>
          </w:p>
        </w:tc>
        <w:tc>
          <w:tcPr>
            <w:tcW w:w="6012" w:type="dxa"/>
            <w:vAlign w:val="top"/>
          </w:tcPr>
          <w:p>
            <w:pPr>
              <w:spacing w:line="28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OMS</w:t>
            </w:r>
            <w:r>
              <w:rPr>
                <w:rFonts w:hint="eastAsia" w:cs="Arial" w:asciiTheme="minorEastAsia" w:hAnsiTheme="minorEastAsia" w:eastAsiaTheme="minorEastAsia"/>
                <w:sz w:val="21"/>
                <w:szCs w:val="21"/>
                <w:lang w:val="en-US" w:eastAsia="zh-CN"/>
              </w:rPr>
              <w:t>:</w:t>
            </w:r>
            <w:r>
              <w:rPr>
                <w:rFonts w:hint="eastAsia" w:cs="Arial" w:asciiTheme="minorEastAsia" w:hAnsiTheme="minorEastAsia" w:eastAsiaTheme="minorEastAsia"/>
                <w:sz w:val="21"/>
                <w:szCs w:val="21"/>
              </w:rPr>
              <w:t xml:space="preserve"> 5.3组织的岗位、职责和权限、6.1.2环境因素/危险源的辨识与评价、6.1.3合规义务、6.1.4措施的策划、6.2.1环境/职业健康安全目标、6.2.2实现环境/职业健康安全目标措施的策划、7.2能力、7.3意识、</w:t>
            </w:r>
            <w:r>
              <w:rPr>
                <w:rFonts w:hint="eastAsia" w:cs="Arial" w:asciiTheme="minorEastAsia" w:hAnsiTheme="minorEastAsia" w:eastAsiaTheme="minorEastAsia"/>
                <w:spacing w:val="-6"/>
                <w:sz w:val="21"/>
                <w:szCs w:val="21"/>
              </w:rPr>
              <w:t>7.4沟通/信息交流、</w:t>
            </w:r>
            <w:r>
              <w:rPr>
                <w:rFonts w:hint="eastAsia" w:cs="Arial" w:asciiTheme="minorEastAsia" w:hAnsiTheme="minorEastAsia" w:eastAsiaTheme="minorEastAsia"/>
                <w:sz w:val="21"/>
                <w:szCs w:val="21"/>
              </w:rPr>
              <w:t>7.5.1形成文件的信息总则、7.5.2形成文件的信息的创建和更新、7.5.3形成文件的信息的控制、8.1运行策划和控制、8.2应急准备和响应、9.1.1监测、分析和评估总则</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9.1.2合规性评价、9.2 内部审核</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10.2</w:t>
            </w:r>
            <w:r>
              <w:rPr>
                <w:rFonts w:hint="eastAsia" w:cs="Arial" w:asciiTheme="minorEastAsia" w:hAnsiTheme="minorEastAsia" w:eastAsiaTheme="minorEastAsia"/>
                <w:sz w:val="21"/>
                <w:szCs w:val="21"/>
                <w:lang w:val="en-US" w:eastAsia="zh-CN"/>
              </w:rPr>
              <w:t>事件、不符合</w:t>
            </w:r>
            <w:r>
              <w:rPr>
                <w:rFonts w:hint="eastAsia" w:cs="Arial" w:asciiTheme="minorEastAsia" w:hAnsiTheme="minorEastAsia" w:eastAsiaTheme="minorEastAsia"/>
                <w:sz w:val="21"/>
                <w:szCs w:val="21"/>
              </w:rPr>
              <w:t>和纠正措施</w:t>
            </w:r>
            <w:r>
              <w:rPr>
                <w:rFonts w:hint="eastAsia" w:cs="Arial" w:asciiTheme="minorEastAsia" w:hAnsiTheme="minorEastAsia" w:eastAsiaTheme="minorEastAsia"/>
                <w:sz w:val="21"/>
                <w:szCs w:val="21"/>
                <w:lang w:val="en-US" w:eastAsia="zh-CN"/>
              </w:rPr>
              <w:t>.</w:t>
            </w:r>
          </w:p>
          <w:p>
            <w:pPr>
              <w:spacing w:line="280" w:lineRule="exact"/>
              <w:rPr>
                <w:rFonts w:hint="eastAsia" w:ascii="Times New Roman" w:hAnsi="Times New Roman" w:cs="Times New Roman" w:eastAsiaTheme="minorEastAsia"/>
                <w:kern w:val="2"/>
                <w:sz w:val="21"/>
                <w:szCs w:val="21"/>
                <w:lang w:val="en-US" w:eastAsia="zh-CN" w:bidi="ar-SA"/>
              </w:rPr>
            </w:pPr>
            <w:r>
              <w:rPr>
                <w:rFonts w:hint="eastAsia" w:cs="Arial" w:asciiTheme="minorEastAsia" w:hAnsiTheme="minorEastAsia" w:eastAsiaTheme="minorEastAsia"/>
                <w:sz w:val="21"/>
                <w:szCs w:val="21"/>
              </w:rPr>
              <w:t>EMS</w:t>
            </w:r>
            <w:r>
              <w:rPr>
                <w:rFonts w:hint="eastAsia" w:cs="Arial" w:asciiTheme="minorEastAsia" w:hAnsiTheme="minorEastAsia" w:eastAsiaTheme="minorEastAsia"/>
                <w:sz w:val="21"/>
                <w:szCs w:val="21"/>
                <w:lang w:val="en-US" w:eastAsia="zh-CN"/>
              </w:rPr>
              <w:t>/</w:t>
            </w:r>
            <w:r>
              <w:rPr>
                <w:rFonts w:hint="eastAsia" w:cs="Arial" w:asciiTheme="minorEastAsia" w:hAnsiTheme="minorEastAsia" w:eastAsiaTheme="minorEastAsia"/>
                <w:sz w:val="21"/>
                <w:szCs w:val="21"/>
              </w:rPr>
              <w:t>OHSMS运行控制相关财务支出证据</w:t>
            </w:r>
            <w:r>
              <w:rPr>
                <w:rFonts w:hint="eastAsia" w:cs="Arial" w:asciiTheme="minorEastAsia" w:hAnsiTheme="minorEastAsia" w:eastAsiaTheme="minorEastAsia"/>
                <w:sz w:val="21"/>
                <w:szCs w:val="21"/>
                <w:lang w:val="en-US" w:eastAsia="zh-CN"/>
              </w:rPr>
              <w:t>；</w:t>
            </w:r>
          </w:p>
        </w:tc>
        <w:tc>
          <w:tcPr>
            <w:tcW w:w="1039" w:type="dxa"/>
            <w:tcBorders>
              <w:right w:val="single" w:color="auto" w:sz="8" w:space="0"/>
            </w:tcBorders>
            <w:vAlign w:val="top"/>
          </w:tcPr>
          <w:p>
            <w:pPr>
              <w:pStyle w:val="2"/>
              <w:rPr>
                <w:rFonts w:hint="default"/>
                <w:lang w:val="en-US" w:eastAsia="zh-CN"/>
              </w:rPr>
            </w:pPr>
            <w:r>
              <w:rPr>
                <w:rFonts w:hint="eastAsia"/>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12" w:type="dxa"/>
            <w:vMerge w:val="continue"/>
            <w:tcBorders>
              <w:left w:val="single" w:color="auto" w:sz="8" w:space="0"/>
            </w:tcBorders>
          </w:tcPr>
          <w:p>
            <w:pPr>
              <w:snapToGrid w:val="0"/>
              <w:spacing w:line="320" w:lineRule="exact"/>
              <w:rPr>
                <w:rFonts w:hint="eastAsia" w:ascii="宋体" w:hAnsi="宋体" w:eastAsia="宋体"/>
                <w:b/>
                <w:bCs/>
                <w:sz w:val="21"/>
                <w:szCs w:val="21"/>
                <w:lang w:val="en-US" w:eastAsia="zh-CN"/>
              </w:rPr>
            </w:pPr>
          </w:p>
        </w:tc>
        <w:tc>
          <w:tcPr>
            <w:tcW w:w="1332" w:type="dxa"/>
            <w:vAlign w:val="top"/>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w:t>
            </w:r>
            <w:r>
              <w:rPr>
                <w:rFonts w:hint="eastAsia" w:ascii="宋体" w:hAnsi="宋体" w:cs="Times New Roman"/>
                <w:b/>
                <w:bCs/>
                <w:sz w:val="21"/>
                <w:szCs w:val="21"/>
                <w:lang w:val="en-US" w:eastAsia="zh-CN"/>
              </w:rPr>
              <w:t>3</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r>
              <w:rPr>
                <w:rFonts w:hint="eastAsia" w:ascii="宋体" w:hAnsi="宋体" w:cs="Times New Roman"/>
                <w:b/>
                <w:bCs/>
                <w:sz w:val="21"/>
                <w:szCs w:val="21"/>
                <w:lang w:val="en-US" w:eastAsia="zh-CN"/>
              </w:rPr>
              <w:t>-15:00</w:t>
            </w:r>
          </w:p>
        </w:tc>
        <w:tc>
          <w:tcPr>
            <w:tcW w:w="1125" w:type="dxa"/>
            <w:gridSpan w:val="2"/>
            <w:vAlign w:val="top"/>
          </w:tcPr>
          <w:p>
            <w:pPr>
              <w:spacing w:line="300" w:lineRule="exact"/>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质量部</w:t>
            </w:r>
          </w:p>
        </w:tc>
        <w:tc>
          <w:tcPr>
            <w:tcW w:w="6012" w:type="dxa"/>
            <w:vAlign w:val="top"/>
          </w:tcPr>
          <w:p>
            <w:pPr>
              <w:spacing w:line="300" w:lineRule="exact"/>
              <w:rPr>
                <w:rFonts w:hint="eastAsia" w:ascii="宋体" w:hAnsi="宋体" w:cs="Arial"/>
                <w:sz w:val="21"/>
                <w:szCs w:val="21"/>
              </w:rPr>
            </w:pPr>
            <w:r>
              <w:rPr>
                <w:rFonts w:hint="eastAsia" w:ascii="宋体" w:hAnsi="宋体" w:cs="Arial"/>
                <w:sz w:val="21"/>
                <w:szCs w:val="21"/>
              </w:rPr>
              <w:t>EMS: 5.3组织的岗位、职责和权限、6.2环境与职业健康安全目标、6.1.2环境因素/危险源辨识与评价、8.1运行策划和控制、8.2应急准备和响应</w:t>
            </w:r>
          </w:p>
          <w:p>
            <w:pPr>
              <w:pStyle w:val="2"/>
            </w:pPr>
            <w:r>
              <w:rPr>
                <w:rFonts w:ascii="宋体" w:hAnsi="宋体" w:cs="Arial"/>
                <w:sz w:val="21"/>
                <w:szCs w:val="21"/>
              </w:rPr>
              <w:t>OMS: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环境与职业健康安全目标</w:t>
            </w:r>
            <w:r>
              <w:rPr>
                <w:rFonts w:hint="eastAsia" w:ascii="宋体" w:hAnsi="宋体" w:cs="Arial"/>
                <w:sz w:val="21"/>
                <w:szCs w:val="21"/>
                <w:u w:val="none"/>
              </w:rPr>
              <w:t>、</w:t>
            </w:r>
            <w:r>
              <w:rPr>
                <w:rFonts w:ascii="宋体" w:hAnsi="宋体" w:cs="Arial"/>
                <w:sz w:val="21"/>
                <w:szCs w:val="21"/>
                <w:u w:val="none"/>
              </w:rPr>
              <w:t>6.1.2</w:t>
            </w:r>
            <w:r>
              <w:rPr>
                <w:rFonts w:hint="eastAsia" w:ascii="宋体" w:hAnsi="宋体" w:cs="Arial"/>
                <w:sz w:val="21"/>
                <w:szCs w:val="21"/>
                <w:u w:val="none"/>
              </w:rPr>
              <w:t>环境因素</w:t>
            </w:r>
            <w:r>
              <w:rPr>
                <w:rFonts w:ascii="宋体" w:hAnsi="宋体" w:cs="Arial"/>
                <w:sz w:val="21"/>
                <w:szCs w:val="21"/>
                <w:u w:val="none"/>
              </w:rPr>
              <w:t>/</w:t>
            </w:r>
            <w:r>
              <w:rPr>
                <w:rFonts w:hint="eastAsia" w:ascii="宋体" w:hAnsi="宋体" w:cs="Arial"/>
                <w:sz w:val="21"/>
                <w:szCs w:val="21"/>
                <w:u w:val="none"/>
              </w:rPr>
              <w:t>危险源辨识与评价、</w:t>
            </w:r>
            <w:r>
              <w:rPr>
                <w:rFonts w:ascii="宋体" w:hAnsi="宋体" w:cs="Arial"/>
                <w:sz w:val="21"/>
                <w:szCs w:val="21"/>
                <w:u w:val="none"/>
              </w:rPr>
              <w:t>8.1</w:t>
            </w:r>
            <w:r>
              <w:rPr>
                <w:rFonts w:hint="eastAsia" w:ascii="宋体" w:hAnsi="宋体" w:cs="Arial"/>
                <w:sz w:val="21"/>
                <w:szCs w:val="21"/>
                <w:u w:val="none"/>
              </w:rPr>
              <w:t>运行策划和控制、</w:t>
            </w:r>
            <w:r>
              <w:rPr>
                <w:rFonts w:ascii="宋体" w:hAnsi="宋体" w:cs="Arial"/>
                <w:sz w:val="21"/>
                <w:szCs w:val="21"/>
                <w:u w:val="none"/>
              </w:rPr>
              <w:t>8.2</w:t>
            </w:r>
            <w:r>
              <w:rPr>
                <w:rFonts w:hint="eastAsia" w:ascii="宋体" w:hAnsi="宋体" w:cs="Arial"/>
                <w:sz w:val="21"/>
                <w:szCs w:val="21"/>
                <w:u w:val="none"/>
              </w:rPr>
              <w:t>应急准备和响应</w:t>
            </w:r>
          </w:p>
        </w:tc>
        <w:tc>
          <w:tcPr>
            <w:tcW w:w="1039" w:type="dxa"/>
            <w:tcBorders>
              <w:right w:val="single" w:color="auto" w:sz="8" w:space="0"/>
            </w:tcBorders>
            <w:vAlign w:val="top"/>
          </w:tcPr>
          <w:p>
            <w:pPr>
              <w:pStyle w:val="2"/>
              <w:rPr>
                <w:rFonts w:hint="default" w:cs="Times New Roman"/>
                <w:bCs/>
                <w:spacing w:val="10"/>
                <w:kern w:val="2"/>
                <w:sz w:val="24"/>
                <w:lang w:val="en-US" w:eastAsia="zh-CN" w:bidi="ar-SA"/>
              </w:rPr>
            </w:pPr>
            <w:r>
              <w:rPr>
                <w:rFonts w:hint="eastAsia" w:cs="Times New Roman"/>
                <w:bCs/>
                <w:spacing w:val="10"/>
                <w:kern w:val="2"/>
                <w:sz w:val="24"/>
                <w:lang w:val="en-US" w:eastAsia="zh-CN" w:bidi="ar-SA"/>
              </w:rPr>
              <w:t>BC审核专业条款；A审核其余条款</w:t>
            </w:r>
          </w:p>
          <w:p>
            <w:pPr>
              <w:pStyle w:val="2"/>
              <w:rPr>
                <w:rFonts w:hint="default" w:cs="Times New Roman"/>
                <w:bCs/>
                <w:spacing w:val="10"/>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12" w:type="dxa"/>
            <w:vMerge w:val="continue"/>
            <w:tcBorders>
              <w:left w:val="single" w:color="auto" w:sz="8" w:space="0"/>
            </w:tcBorders>
          </w:tcPr>
          <w:p>
            <w:pPr>
              <w:snapToGrid w:val="0"/>
              <w:spacing w:line="320" w:lineRule="exact"/>
              <w:rPr>
                <w:rFonts w:hint="eastAsia" w:ascii="宋体" w:hAnsi="宋体" w:eastAsia="宋体"/>
                <w:b/>
                <w:bCs/>
                <w:sz w:val="21"/>
                <w:szCs w:val="21"/>
                <w:lang w:val="en-US" w:eastAsia="zh-CN"/>
              </w:rPr>
            </w:pPr>
          </w:p>
        </w:tc>
        <w:tc>
          <w:tcPr>
            <w:tcW w:w="1332" w:type="dxa"/>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sz w:val="21"/>
                <w:szCs w:val="21"/>
                <w:lang w:val="en-US" w:eastAsia="zh-CN"/>
              </w:rPr>
              <w:t>1</w:t>
            </w:r>
            <w:r>
              <w:rPr>
                <w:rFonts w:hint="eastAsia" w:ascii="宋体" w:hAnsi="宋体" w:cs="Times New Roman"/>
                <w:b/>
                <w:bCs/>
                <w:sz w:val="21"/>
                <w:szCs w:val="21"/>
                <w:lang w:val="en-US" w:eastAsia="zh-CN"/>
              </w:rPr>
              <w:t>3</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r>
              <w:rPr>
                <w:rFonts w:hint="eastAsia" w:ascii="宋体" w:hAnsi="宋体" w:cs="Times New Roman"/>
                <w:b/>
                <w:bCs/>
                <w:sz w:val="21"/>
                <w:szCs w:val="21"/>
                <w:lang w:val="en-US" w:eastAsia="zh-CN"/>
              </w:rPr>
              <w:t>-15:00</w:t>
            </w:r>
          </w:p>
        </w:tc>
        <w:tc>
          <w:tcPr>
            <w:tcW w:w="1125" w:type="dxa"/>
            <w:gridSpan w:val="2"/>
            <w:vAlign w:val="top"/>
          </w:tcPr>
          <w:p>
            <w:pPr>
              <w:spacing w:line="300" w:lineRule="exact"/>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客服部</w:t>
            </w:r>
          </w:p>
        </w:tc>
        <w:tc>
          <w:tcPr>
            <w:tcW w:w="6012" w:type="dxa"/>
            <w:vAlign w:val="top"/>
          </w:tcPr>
          <w:p>
            <w:pPr>
              <w:spacing w:line="300" w:lineRule="exact"/>
              <w:rPr>
                <w:rFonts w:hint="eastAsia" w:ascii="宋体" w:hAnsi="宋体" w:eastAsia="宋体" w:cs="Times New Roman"/>
                <w:b/>
                <w:bCs/>
                <w:kern w:val="2"/>
                <w:sz w:val="21"/>
                <w:szCs w:val="21"/>
                <w:lang w:val="en-US" w:eastAsia="zh-CN" w:bidi="ar-SA"/>
              </w:rPr>
            </w:pPr>
            <w:r>
              <w:rPr>
                <w:rFonts w:ascii="宋体" w:hAnsi="宋体" w:cs="Arial"/>
                <w:sz w:val="21"/>
                <w:szCs w:val="21"/>
              </w:rPr>
              <w:t>EMS: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环境与职业健康安全目标</w:t>
            </w:r>
            <w:r>
              <w:rPr>
                <w:rFonts w:hint="eastAsia" w:ascii="宋体" w:hAnsi="宋体" w:cs="Arial"/>
                <w:sz w:val="21"/>
                <w:szCs w:val="21"/>
                <w:u w:val="none"/>
              </w:rPr>
              <w:t>、</w:t>
            </w:r>
            <w:r>
              <w:rPr>
                <w:rFonts w:ascii="宋体" w:hAnsi="宋体" w:cs="Arial"/>
                <w:sz w:val="21"/>
                <w:szCs w:val="21"/>
                <w:u w:val="none"/>
              </w:rPr>
              <w:t>6.1.2</w:t>
            </w:r>
            <w:r>
              <w:rPr>
                <w:rFonts w:hint="eastAsia" w:ascii="宋体" w:hAnsi="宋体" w:cs="Arial"/>
                <w:sz w:val="21"/>
                <w:szCs w:val="21"/>
                <w:u w:val="none"/>
              </w:rPr>
              <w:t>环境因素</w:t>
            </w:r>
            <w:r>
              <w:rPr>
                <w:rFonts w:ascii="宋体" w:hAnsi="宋体" w:cs="Arial"/>
                <w:sz w:val="21"/>
                <w:szCs w:val="21"/>
                <w:u w:val="none"/>
              </w:rPr>
              <w:t>/</w:t>
            </w:r>
            <w:r>
              <w:rPr>
                <w:rFonts w:hint="eastAsia" w:ascii="宋体" w:hAnsi="宋体" w:cs="Arial"/>
                <w:sz w:val="21"/>
                <w:szCs w:val="21"/>
                <w:u w:val="none"/>
              </w:rPr>
              <w:t>危险源辨识与评价、</w:t>
            </w:r>
            <w:r>
              <w:rPr>
                <w:rFonts w:ascii="宋体" w:hAnsi="宋体" w:cs="Arial"/>
                <w:sz w:val="21"/>
                <w:szCs w:val="21"/>
                <w:u w:val="none"/>
              </w:rPr>
              <w:t>8.1</w:t>
            </w:r>
            <w:r>
              <w:rPr>
                <w:rFonts w:hint="eastAsia" w:ascii="宋体" w:hAnsi="宋体" w:cs="Arial"/>
                <w:sz w:val="21"/>
                <w:szCs w:val="21"/>
                <w:u w:val="none"/>
              </w:rPr>
              <w:t>运行策划和控制、</w:t>
            </w:r>
            <w:r>
              <w:rPr>
                <w:rFonts w:ascii="宋体" w:hAnsi="宋体" w:cs="Arial"/>
                <w:sz w:val="21"/>
                <w:szCs w:val="21"/>
              </w:rPr>
              <w:t>8.2</w:t>
            </w:r>
            <w:r>
              <w:rPr>
                <w:rFonts w:hint="eastAsia" w:ascii="宋体" w:hAnsi="宋体" w:cs="Arial"/>
                <w:sz w:val="21"/>
                <w:szCs w:val="21"/>
              </w:rPr>
              <w:t>应急准备和响应</w:t>
            </w:r>
          </w:p>
        </w:tc>
        <w:tc>
          <w:tcPr>
            <w:tcW w:w="1039" w:type="dxa"/>
            <w:tcBorders>
              <w:right w:val="single" w:color="auto" w:sz="8" w:space="0"/>
            </w:tcBorders>
            <w:vAlign w:val="top"/>
          </w:tcPr>
          <w:p>
            <w:pPr>
              <w:pStyle w:val="2"/>
              <w:rPr>
                <w:rFonts w:hint="eastAsia"/>
                <w:lang w:val="en-US" w:eastAsia="zh-CN"/>
              </w:rPr>
            </w:pPr>
          </w:p>
          <w:p>
            <w:pPr>
              <w:pStyle w:val="2"/>
              <w:rPr>
                <w:rFonts w:hint="eastAsia"/>
                <w:lang w:val="en-US" w:eastAsia="zh-CN"/>
              </w:rPr>
            </w:pPr>
          </w:p>
          <w:p>
            <w:pPr>
              <w:pStyle w:val="2"/>
              <w:rPr>
                <w:rFonts w:hint="default" w:ascii="Times New Roman" w:hAnsi="Times New Roman" w:eastAsia="宋体" w:cs="Times New Roman"/>
                <w:bCs/>
                <w:spacing w:val="10"/>
                <w:kern w:val="2"/>
                <w:sz w:val="24"/>
                <w:lang w:val="en-US" w:eastAsia="zh-CN" w:bidi="ar-SA"/>
              </w:rPr>
            </w:pPr>
            <w:r>
              <w:rPr>
                <w:rFonts w:hint="eastAsia" w:ascii="Times New Roman" w:hAnsi="Times New Roman" w:eastAsia="宋体" w:cs="Times New Roman"/>
                <w:bCs/>
                <w:spacing w:val="10"/>
                <w:kern w:val="2"/>
                <w:sz w:val="24"/>
                <w:lang w:val="en-US" w:eastAsia="zh-CN" w:bidi="ar-SA"/>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12" w:type="dxa"/>
            <w:vMerge w:val="continue"/>
            <w:tcBorders>
              <w:left w:val="single" w:color="auto" w:sz="8" w:space="0"/>
            </w:tcBorders>
            <w:shd w:val="clear" w:color="auto" w:fill="F2DCDC" w:themeFill="accent2" w:themeFillTint="32"/>
          </w:tcPr>
          <w:p>
            <w:pPr>
              <w:snapToGrid w:val="0"/>
              <w:spacing w:line="320" w:lineRule="exact"/>
              <w:rPr>
                <w:rFonts w:hint="eastAsia" w:ascii="宋体" w:hAnsi="宋体"/>
                <w:b/>
                <w:bCs/>
                <w:sz w:val="21"/>
                <w:szCs w:val="21"/>
                <w:lang w:val="en-US" w:eastAsia="zh-CN"/>
              </w:rPr>
            </w:pPr>
          </w:p>
        </w:tc>
        <w:tc>
          <w:tcPr>
            <w:tcW w:w="1332" w:type="dxa"/>
            <w:shd w:val="clear" w:color="auto" w:fill="F2DCDC" w:themeFill="accent2" w:themeFillTint="32"/>
          </w:tcPr>
          <w:p>
            <w:pPr>
              <w:snapToGrid w:val="0"/>
              <w:spacing w:line="320" w:lineRule="exact"/>
              <w:rPr>
                <w:rFonts w:hint="eastAsia"/>
                <w:b/>
                <w:bCs/>
                <w:color w:val="000000"/>
                <w:sz w:val="21"/>
                <w:szCs w:val="21"/>
                <w:lang w:val="en-US" w:eastAsia="zh-CN"/>
              </w:rPr>
            </w:pPr>
            <w:r>
              <w:rPr>
                <w:rFonts w:hint="eastAsia" w:ascii="宋体" w:hAnsi="宋体" w:cs="Times New Roman"/>
                <w:b/>
                <w:bCs/>
                <w:sz w:val="21"/>
                <w:szCs w:val="21"/>
                <w:lang w:val="en-US" w:eastAsia="zh-CN"/>
              </w:rPr>
              <w:t>15</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0-17：</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p>
        </w:tc>
        <w:tc>
          <w:tcPr>
            <w:tcW w:w="1122" w:type="dxa"/>
            <w:shd w:val="clear" w:color="auto" w:fill="F2DCDC" w:themeFill="accent2" w:themeFillTint="32"/>
          </w:tcPr>
          <w:p>
            <w:pPr>
              <w:spacing w:line="300" w:lineRule="exact"/>
              <w:rPr>
                <w:rFonts w:hint="eastAsia" w:ascii="宋体" w:hAnsi="宋体" w:cs="Arial"/>
                <w:sz w:val="21"/>
                <w:szCs w:val="21"/>
              </w:rPr>
            </w:pPr>
            <w:r>
              <w:rPr>
                <w:rFonts w:hint="eastAsia" w:ascii="宋体" w:hAnsi="宋体" w:eastAsia="宋体" w:cs="Times New Roman"/>
                <w:b/>
                <w:bCs/>
                <w:kern w:val="2"/>
                <w:sz w:val="21"/>
                <w:szCs w:val="21"/>
                <w:lang w:val="en-US" w:eastAsia="zh-CN" w:bidi="ar-SA"/>
              </w:rPr>
              <w:t>客服部</w:t>
            </w:r>
          </w:p>
        </w:tc>
        <w:tc>
          <w:tcPr>
            <w:tcW w:w="6015" w:type="dxa"/>
            <w:gridSpan w:val="2"/>
            <w:shd w:val="clear" w:color="auto" w:fill="F2DCDC" w:themeFill="accent2" w:themeFillTint="32"/>
          </w:tcPr>
          <w:p>
            <w:pPr>
              <w:spacing w:line="300" w:lineRule="exact"/>
              <w:rPr>
                <w:rFonts w:hint="eastAsia" w:ascii="宋体" w:hAnsi="宋体" w:cs="Arial"/>
                <w:sz w:val="21"/>
                <w:szCs w:val="21"/>
              </w:rPr>
            </w:pPr>
            <w:r>
              <w:rPr>
                <w:rFonts w:ascii="宋体" w:hAnsi="宋体" w:cs="Arial"/>
                <w:sz w:val="21"/>
                <w:szCs w:val="21"/>
              </w:rPr>
              <w:t>OMS: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环境与职业健康安全目标</w:t>
            </w:r>
            <w:r>
              <w:rPr>
                <w:rFonts w:hint="eastAsia" w:ascii="宋体" w:hAnsi="宋体" w:cs="Arial"/>
                <w:sz w:val="21"/>
                <w:szCs w:val="21"/>
                <w:u w:val="none"/>
              </w:rPr>
              <w:t>、</w:t>
            </w:r>
            <w:r>
              <w:rPr>
                <w:rFonts w:ascii="宋体" w:hAnsi="宋体" w:cs="Arial"/>
                <w:sz w:val="21"/>
                <w:szCs w:val="21"/>
                <w:u w:val="none"/>
              </w:rPr>
              <w:t>6.1.2</w:t>
            </w:r>
            <w:r>
              <w:rPr>
                <w:rFonts w:hint="eastAsia" w:ascii="宋体" w:hAnsi="宋体" w:cs="Arial"/>
                <w:sz w:val="21"/>
                <w:szCs w:val="21"/>
                <w:u w:val="none"/>
              </w:rPr>
              <w:t>环境因素</w:t>
            </w:r>
            <w:r>
              <w:rPr>
                <w:rFonts w:ascii="宋体" w:hAnsi="宋体" w:cs="Arial"/>
                <w:sz w:val="21"/>
                <w:szCs w:val="21"/>
                <w:u w:val="none"/>
              </w:rPr>
              <w:t>/</w:t>
            </w:r>
            <w:r>
              <w:rPr>
                <w:rFonts w:hint="eastAsia" w:ascii="宋体" w:hAnsi="宋体" w:cs="Arial"/>
                <w:sz w:val="21"/>
                <w:szCs w:val="21"/>
                <w:u w:val="none"/>
              </w:rPr>
              <w:t>危险源辨识与评价、</w:t>
            </w:r>
            <w:r>
              <w:rPr>
                <w:rFonts w:ascii="宋体" w:hAnsi="宋体" w:cs="Arial"/>
                <w:sz w:val="21"/>
                <w:szCs w:val="21"/>
                <w:u w:val="none"/>
              </w:rPr>
              <w:t>8.1</w:t>
            </w:r>
            <w:r>
              <w:rPr>
                <w:rFonts w:hint="eastAsia" w:ascii="宋体" w:hAnsi="宋体" w:cs="Arial"/>
                <w:sz w:val="21"/>
                <w:szCs w:val="21"/>
                <w:u w:val="none"/>
              </w:rPr>
              <w:t>运行策划和控制、</w:t>
            </w:r>
            <w:r>
              <w:rPr>
                <w:rFonts w:ascii="宋体" w:hAnsi="宋体" w:cs="Arial"/>
                <w:sz w:val="21"/>
                <w:szCs w:val="21"/>
                <w:u w:val="none"/>
              </w:rPr>
              <w:t>8.2</w:t>
            </w:r>
            <w:r>
              <w:rPr>
                <w:rFonts w:hint="eastAsia" w:ascii="宋体" w:hAnsi="宋体" w:cs="Arial"/>
                <w:sz w:val="21"/>
                <w:szCs w:val="21"/>
                <w:u w:val="none"/>
              </w:rPr>
              <w:t>应急准备和响应</w:t>
            </w:r>
          </w:p>
        </w:tc>
        <w:tc>
          <w:tcPr>
            <w:tcW w:w="1039" w:type="dxa"/>
            <w:tcBorders>
              <w:right w:val="single" w:color="auto" w:sz="8" w:space="0"/>
            </w:tcBorders>
            <w:shd w:val="clear" w:color="auto" w:fill="F2DCDC" w:themeFill="accent2" w:themeFillTint="32"/>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12" w:type="dxa"/>
            <w:tcBorders>
              <w:left w:val="single" w:color="auto" w:sz="8" w:space="0"/>
            </w:tcBorders>
            <w:shd w:val="clear" w:color="auto" w:fill="F2DCDC" w:themeFill="accent2" w:themeFillTint="32"/>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2022.2.23</w:t>
            </w:r>
          </w:p>
        </w:tc>
        <w:tc>
          <w:tcPr>
            <w:tcW w:w="1332" w:type="dxa"/>
            <w:shd w:val="clear" w:color="auto" w:fill="F2DCDC" w:themeFill="accent2" w:themeFillTint="32"/>
          </w:tcPr>
          <w:p>
            <w:pPr>
              <w:snapToGrid w:val="0"/>
              <w:spacing w:line="320" w:lineRule="exact"/>
              <w:rPr>
                <w:rFonts w:hint="default" w:ascii="宋体" w:hAnsi="宋体" w:eastAsia="宋体"/>
                <w:b/>
                <w:bCs/>
                <w:sz w:val="21"/>
                <w:szCs w:val="21"/>
                <w:lang w:val="en-US" w:eastAsia="zh-CN"/>
              </w:rPr>
            </w:pPr>
            <w:r>
              <w:rPr>
                <w:rFonts w:hint="eastAsia"/>
                <w:b/>
                <w:bCs/>
                <w:color w:val="000000"/>
                <w:sz w:val="21"/>
                <w:szCs w:val="21"/>
                <w:lang w:val="en-US" w:eastAsia="zh-CN"/>
              </w:rPr>
              <w:t>17：0</w:t>
            </w:r>
            <w:r>
              <w:rPr>
                <w:rFonts w:hint="eastAsia"/>
                <w:b/>
                <w:bCs/>
                <w:color w:val="000000"/>
                <w:sz w:val="21"/>
                <w:szCs w:val="21"/>
              </w:rPr>
              <w:t>0</w:t>
            </w:r>
            <w:r>
              <w:rPr>
                <w:rFonts w:hint="eastAsia"/>
                <w:b/>
                <w:bCs/>
                <w:color w:val="000000"/>
                <w:sz w:val="21"/>
                <w:szCs w:val="21"/>
                <w:lang w:val="en-US" w:eastAsia="zh-CN"/>
              </w:rPr>
              <w:t>-1:7：30</w:t>
            </w:r>
          </w:p>
        </w:tc>
        <w:tc>
          <w:tcPr>
            <w:tcW w:w="7137" w:type="dxa"/>
            <w:gridSpan w:val="3"/>
            <w:shd w:val="clear" w:color="auto" w:fill="F2DCDC" w:themeFill="accent2" w:themeFillTint="32"/>
          </w:tcPr>
          <w:p>
            <w:pPr>
              <w:spacing w:line="280" w:lineRule="exact"/>
              <w:ind w:firstLine="420" w:firstLineChars="200"/>
              <w:rPr>
                <w:rFonts w:ascii="宋体" w:cs="Arial"/>
                <w:sz w:val="21"/>
                <w:szCs w:val="21"/>
              </w:rPr>
            </w:pPr>
            <w:r>
              <w:rPr>
                <w:rFonts w:hint="eastAsia" w:ascii="宋体" w:hAnsi="宋体" w:cs="Arial"/>
                <w:sz w:val="21"/>
                <w:szCs w:val="21"/>
              </w:rPr>
              <w:t>补充及跟踪审核：必要部门、必要条款；审核组内部沟通；</w:t>
            </w:r>
          </w:p>
          <w:p>
            <w:pPr>
              <w:spacing w:line="280" w:lineRule="exact"/>
              <w:ind w:firstLine="420" w:firstLineChars="200"/>
              <w:rPr>
                <w:rFonts w:hint="eastAsia" w:ascii="宋体" w:hAnsi="宋体" w:cs="Arial"/>
                <w:sz w:val="21"/>
                <w:szCs w:val="21"/>
              </w:rPr>
            </w:pPr>
            <w:r>
              <w:rPr>
                <w:rFonts w:hint="eastAsia" w:ascii="宋体" w:hAnsi="宋体" w:cs="Arial"/>
                <w:sz w:val="21"/>
                <w:szCs w:val="21"/>
              </w:rPr>
              <w:t>审核组与受审核方领导层沟通；</w:t>
            </w:r>
          </w:p>
          <w:p>
            <w:pPr>
              <w:spacing w:line="300" w:lineRule="exact"/>
              <w:rPr>
                <w:sz w:val="21"/>
                <w:szCs w:val="21"/>
              </w:rPr>
            </w:pPr>
            <w:r>
              <w:rPr>
                <w:rFonts w:hint="eastAsia" w:ascii="宋体" w:hAnsi="宋体" w:cs="Arial"/>
                <w:sz w:val="21"/>
                <w:szCs w:val="21"/>
              </w:rPr>
              <w:t>末次会：综合评价</w:t>
            </w:r>
            <w:r>
              <w:rPr>
                <w:rFonts w:ascii="宋体" w:hAnsi="宋体" w:cs="Arial"/>
                <w:sz w:val="21"/>
                <w:szCs w:val="21"/>
              </w:rPr>
              <w:t>QMS\EMS\OHSMS</w:t>
            </w:r>
            <w:r>
              <w:rPr>
                <w:rFonts w:hint="eastAsia" w:ascii="宋体" w:hAnsi="宋体" w:cs="Arial"/>
                <w:sz w:val="21"/>
                <w:szCs w:val="21"/>
              </w:rPr>
              <w:t>管理体系运行总体情况及改进要求，宣告审核发现及审核结论。</w:t>
            </w:r>
          </w:p>
        </w:tc>
        <w:tc>
          <w:tcPr>
            <w:tcW w:w="1039" w:type="dxa"/>
            <w:tcBorders>
              <w:right w:val="single" w:color="auto" w:sz="8" w:space="0"/>
            </w:tcBorders>
            <w:shd w:val="clear" w:color="auto" w:fill="F2DCDC" w:themeFill="accent2" w:themeFillTint="32"/>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ABC</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F761DD"/>
    <w:rsid w:val="18582BE2"/>
    <w:rsid w:val="228B61B4"/>
    <w:rsid w:val="2D850C6B"/>
    <w:rsid w:val="3668344B"/>
    <w:rsid w:val="37B17421"/>
    <w:rsid w:val="47121734"/>
    <w:rsid w:val="4D6E11CA"/>
    <w:rsid w:val="50BA098E"/>
    <w:rsid w:val="5C1E095A"/>
    <w:rsid w:val="60454E39"/>
    <w:rsid w:val="649E1D70"/>
    <w:rsid w:val="665123B2"/>
    <w:rsid w:val="6691776F"/>
    <w:rsid w:val="68013882"/>
    <w:rsid w:val="730A485F"/>
    <w:rsid w:val="75470D27"/>
    <w:rsid w:val="78C53825"/>
    <w:rsid w:val="7A633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0</TotalTime>
  <ScaleCrop>false</ScaleCrop>
  <LinksUpToDate>false</LinksUpToDate>
  <CharactersWithSpaces>5336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强子</cp:lastModifiedBy>
  <dcterms:modified xsi:type="dcterms:W3CDTF">2022-02-23T03:09:49Z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2052-11.1.0.11365</vt:lpwstr>
  </property>
</Properties>
</file>