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河北营观图创科技有限公司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sz w:val="21"/>
                <w:szCs w:val="21"/>
              </w:rPr>
              <w:t>33.02.01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33.02.01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需求分析→概要设计→详细设计→代码编写→软件测试→产品交付→运行维护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需求分析，产品功能/性能指标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GB/T8567-2006《计算机软件文档编制规范》</w:t>
            </w:r>
            <w:r>
              <w:rPr>
                <w:rFonts w:hint="eastAsia" w:ascii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GB/T9385-2008《计算机软件需求说明编制指南》、GB/T9386-2008《计算机软件测试文件编制规范》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功能/性能测试，满足客户要求。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80010</wp:posOffset>
                  </wp:positionV>
                  <wp:extent cx="895350" cy="533400"/>
                  <wp:effectExtent l="0" t="0" r="635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67310</wp:posOffset>
                  </wp:positionV>
                  <wp:extent cx="1043940" cy="502285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B084C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2022-02-20T11:06:47Z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