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23"/>
        <w:gridCol w:w="239"/>
        <w:gridCol w:w="550"/>
        <w:gridCol w:w="680"/>
        <w:gridCol w:w="69"/>
        <w:gridCol w:w="18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江阴市建设物业管理有限公司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江苏省江阴市滨江中路245号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江苏省江阴市滨江中路245号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13861628619</w:t>
            </w:r>
            <w:bookmarkEnd w:id="4"/>
          </w:p>
        </w:tc>
        <w:tc>
          <w:tcPr>
            <w:tcW w:w="7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17402843@qq.com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7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0107-2021-EnMS-2022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物业管理服务涉及相关能源管理活动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2.10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 w:eastAsia="zh-CN"/>
              </w:rPr>
              <w:t xml:space="preserve">RB/T 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107-2013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能源管理体系 公共建筑管理组织认证要求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 w:eastAsia="zh-CN"/>
              </w:rPr>
              <w:t>行业认证标准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2022年02月14日 上午至2022年02月15日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黄平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江阴市晟和物业管理有限公司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13506160697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黄平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江阴市晟和物业管理有限公司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13506160697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2022.2.14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5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5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9:00-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12:00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0-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17: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资源、8.1 运行的策划和控制、9.3 管理评审、关注投诉处理、证书及标志使用及相关现场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验证上次不符合整改情况。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735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目标、能源指及其实现的策划、8.1 运行的策划和控制、10.1 不符合与纠正措施 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12:00</w:t>
            </w:r>
          </w:p>
          <w:p>
            <w:pPr>
              <w:pStyle w:val="2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0-</w:t>
            </w:r>
          </w:p>
          <w:p>
            <w:pPr>
              <w:pStyle w:val="2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35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能源基准、6.6 采集能源数据的策划、7.2 能力、7.3 意识、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8.2设计、8.3采购、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能源绩效和能源管理体系的监视、测量、分析和评价、9.1.2 法律法规要求和其他要求的合规性评价、9.2 内部审核、10.1 不符合与纠正措施、10.2 持续改进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 组织的岗位、职责和权限、6.2 目标、能源指及其实现的策划、8.1 运行的策划和控制、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default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注1：午餐时间12:00-12:30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bookmarkStart w:id="30" w:name="_GoBack"/>
      <w:bookmarkEnd w:id="30"/>
      <w:r>
        <w:rPr>
          <w:rFonts w:hint="eastAsia" w:ascii="宋体" w:hAnsi="宋体"/>
          <w:b/>
          <w:sz w:val="18"/>
          <w:szCs w:val="18"/>
        </w:rPr>
        <w:t>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D0CEA"/>
    <w:rsid w:val="3E397F65"/>
    <w:rsid w:val="73BA1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2022-02-15T06:42:54Z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