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0148-2021-F-2022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南京康智和农产品有限公司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南京康智和农产品有限公司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南京市江宁区东山街道古庙北路1号</w:t>
            </w:r>
            <w:bookmarkEnd w:id="8"/>
          </w:p>
        </w:tc>
        <w:tc>
          <w:tcPr>
            <w:tcW w:w="1242" w:type="dxa"/>
            <w:vMerge w:val="restart"/>
            <w:vAlign w:val="center"/>
          </w:tcPr>
          <w:p>
            <w:r>
              <w:rPr>
                <w:rFonts w:hint="eastAsia"/>
              </w:rPr>
              <w:t>邮编</w:t>
            </w:r>
          </w:p>
        </w:tc>
        <w:tc>
          <w:tcPr>
            <w:tcW w:w="1771" w:type="dxa"/>
          </w:tcPr>
          <w:p>
            <w:bookmarkStart w:id="9" w:name="注册邮编"/>
            <w:r>
              <w:t>211103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rPr>
                <w:rFonts w:hint="eastAsia"/>
                <w:lang w:val="en-US" w:eastAsia="zh-CN"/>
              </w:rPr>
              <w:t>江苏省</w:t>
            </w:r>
            <w:r>
              <w:t>南京市江宁区东山街道古庙北路1号</w:t>
            </w:r>
            <w:bookmarkEnd w:id="10"/>
          </w:p>
        </w:tc>
        <w:tc>
          <w:tcPr>
            <w:tcW w:w="1242" w:type="dxa"/>
            <w:vMerge w:val="continue"/>
            <w:vAlign w:val="center"/>
          </w:tcPr>
          <w:p/>
        </w:tc>
        <w:tc>
          <w:tcPr>
            <w:tcW w:w="1771" w:type="dxa"/>
          </w:tcPr>
          <w:p>
            <w:bookmarkStart w:id="11" w:name="办公邮编"/>
            <w:r>
              <w:t>211103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9" w:type="dxa"/>
            <w:vAlign w:val="center"/>
          </w:tcPr>
          <w:p>
            <w:r>
              <w:rPr>
                <w:rFonts w:hint="eastAsia"/>
              </w:rPr>
              <w:t>联系人</w:t>
            </w:r>
          </w:p>
        </w:tc>
        <w:tc>
          <w:tcPr>
            <w:tcW w:w="1552" w:type="dxa"/>
          </w:tcPr>
          <w:p>
            <w:bookmarkStart w:id="12" w:name="联系人"/>
            <w:r>
              <w:t>戈敏</w:t>
            </w:r>
            <w:bookmarkEnd w:id="12"/>
          </w:p>
        </w:tc>
        <w:tc>
          <w:tcPr>
            <w:tcW w:w="1313" w:type="dxa"/>
            <w:vAlign w:val="center"/>
          </w:tcPr>
          <w:p>
            <w:r>
              <w:rPr>
                <w:rFonts w:hint="eastAsia"/>
              </w:rPr>
              <w:t>电话.</w:t>
            </w:r>
          </w:p>
        </w:tc>
        <w:tc>
          <w:tcPr>
            <w:tcW w:w="2180" w:type="dxa"/>
            <w:vAlign w:val="center"/>
          </w:tcPr>
          <w:p>
            <w:bookmarkStart w:id="13" w:name="联系人电话"/>
            <w:r>
              <w:t>025-52185679</w:t>
            </w:r>
            <w:bookmarkEnd w:id="13"/>
          </w:p>
        </w:tc>
        <w:tc>
          <w:tcPr>
            <w:tcW w:w="1242" w:type="dxa"/>
            <w:vAlign w:val="center"/>
          </w:tcPr>
          <w:p>
            <w:r>
              <w:rPr>
                <w:rFonts w:hint="eastAsia"/>
              </w:rPr>
              <w:t>传真</w:t>
            </w:r>
          </w:p>
        </w:tc>
        <w:tc>
          <w:tcPr>
            <w:tcW w:w="1771" w:type="dxa"/>
          </w:tcPr>
          <w:p>
            <w:bookmarkStart w:id="14" w:name="联系人传真"/>
            <w:r>
              <w:t>025-52182079</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聂勇</w:t>
            </w:r>
            <w:bookmarkEnd w:id="15"/>
          </w:p>
        </w:tc>
        <w:tc>
          <w:tcPr>
            <w:tcW w:w="1313" w:type="dxa"/>
            <w:vAlign w:val="center"/>
          </w:tcPr>
          <w:p>
            <w:r>
              <w:rPr>
                <w:rFonts w:hint="eastAsia"/>
              </w:rPr>
              <w:t>管理者代表</w:t>
            </w:r>
          </w:p>
        </w:tc>
        <w:tc>
          <w:tcPr>
            <w:tcW w:w="2180" w:type="dxa"/>
          </w:tcPr>
          <w:p>
            <w:r>
              <w:t>聂勇</w:t>
            </w:r>
          </w:p>
        </w:tc>
        <w:tc>
          <w:tcPr>
            <w:tcW w:w="1242" w:type="dxa"/>
          </w:tcPr>
          <w:p>
            <w:r>
              <w:rPr>
                <w:rFonts w:hint="eastAsia"/>
              </w:rPr>
              <w:t>邮箱</w:t>
            </w:r>
          </w:p>
        </w:tc>
        <w:tc>
          <w:tcPr>
            <w:tcW w:w="1771" w:type="dxa"/>
          </w:tcPr>
          <w:p>
            <w:bookmarkStart w:id="16" w:name="联系人邮箱"/>
            <w:r>
              <w:rPr>
                <w:sz w:val="21"/>
                <w:szCs w:val="21"/>
              </w:rPr>
              <w:t>1759150733@qq.com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strike/>
                <w:dstrike w:val="0"/>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yellow"/>
              </w:rPr>
            </w:pPr>
          </w:p>
          <w:p>
            <w:pPr>
              <w:rPr>
                <w:highlight w:val="yellow"/>
              </w:rPr>
            </w:pPr>
          </w:p>
        </w:tc>
        <w:tc>
          <w:tcPr>
            <w:tcW w:w="8058" w:type="dxa"/>
            <w:gridSpan w:val="5"/>
            <w:shd w:val="clear" w:color="auto" w:fill="auto"/>
          </w:tcPr>
          <w:p>
            <w:pPr>
              <w:snapToGrid w:val="0"/>
              <w:spacing w:line="280" w:lineRule="exact"/>
              <w:jc w:val="left"/>
              <w:rPr>
                <w:rFonts w:hint="eastAsia" w:ascii="宋体" w:hAnsi="宋体"/>
                <w:b/>
                <w:bCs/>
                <w:sz w:val="20"/>
              </w:rPr>
            </w:pPr>
            <w:r>
              <w:rPr>
                <w:rFonts w:hint="eastAsia" w:ascii="宋体" w:hAnsi="宋体"/>
                <w:b/>
                <w:bCs/>
                <w:sz w:val="20"/>
              </w:rPr>
              <w:t>生产/服务流程：</w:t>
            </w:r>
          </w:p>
          <w:p>
            <w:pPr>
              <w:pStyle w:val="6"/>
            </w:pPr>
          </w:p>
          <w:p>
            <w:pPr>
              <w:rPr>
                <w:highlight w:val="yellow"/>
              </w:rPr>
            </w:pPr>
            <w:r>
              <w:rPr>
                <w:rFonts w:hint="eastAsia"/>
                <w:lang w:val="en-US" w:eastAsia="zh-CN"/>
              </w:rPr>
              <w:t>客户订单接收→采购→原料验收→分拣→冷藏冷冻贮存（适用时）→分拣/称量→配送</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2022年02月19日 上午</w:t>
            </w:r>
            <w:r>
              <w:rPr>
                <w:rFonts w:hint="eastAsia"/>
                <w:lang w:val="en-US" w:eastAsia="zh-CN"/>
              </w:rPr>
              <w:t>8:30</w:t>
            </w:r>
            <w:r>
              <w:rPr>
                <w:rFonts w:hint="eastAsia"/>
              </w:rPr>
              <w:t>至2022年02月19日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lang w:val="en-US" w:eastAsia="zh-CN"/>
              </w:rPr>
              <w:t>江苏省</w:t>
            </w:r>
            <w:r>
              <w:t>南京市江宁区东山街道古庙北路1号</w:t>
            </w:r>
            <w:r>
              <w:rPr>
                <w:rFonts w:hint="eastAsia"/>
                <w:lang w:eastAsia="zh-CN"/>
              </w:rPr>
              <w:t>【</w:t>
            </w:r>
            <w:r>
              <w:rPr>
                <w:rFonts w:hint="eastAsia"/>
                <w:lang w:val="en-US" w:eastAsia="zh-CN"/>
              </w:rPr>
              <w:t>现场审核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33" w:name="审核范围"/>
            <w:r>
              <w:rPr>
                <w:sz w:val="20"/>
              </w:rPr>
              <w:t>位于江苏省南京市江宁区东山街道古庙北路1号</w:t>
            </w:r>
            <w:r>
              <w:rPr>
                <w:sz w:val="21"/>
                <w:szCs w:val="21"/>
              </w:rPr>
              <w:t>南京康智和农产品有限公司</w:t>
            </w:r>
            <w:r>
              <w:rPr>
                <w:sz w:val="20"/>
              </w:rPr>
              <w:t>的预包装食品（含冷藏冷冻食品）销售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pPr>
              <w:rPr>
                <w:rFonts w:hint="default" w:eastAsia="宋体"/>
                <w:lang w:val="en-US" w:eastAsia="zh-CN"/>
              </w:rPr>
            </w:pPr>
            <w:r>
              <w:rPr>
                <w:rFonts w:hint="eastAsia"/>
                <w:lang w:val="en-US" w:eastAsia="zh-CN"/>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12</w:t>
            </w:r>
            <w:r>
              <w:rPr>
                <w:rFonts w:hint="eastAsia"/>
              </w:rPr>
              <w:t>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21</w:t>
            </w:r>
            <w:r>
              <w:rPr>
                <w:rFonts w:hint="eastAsia"/>
                <w:highlight w:val="none"/>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南京康智和农产品有限公司</w:t>
            </w:r>
          </w:p>
          <w:p>
            <w:pPr>
              <w:pStyle w:val="14"/>
              <w:rPr>
                <w:lang w:val="de-DE" w:eastAsia="ja-JP"/>
              </w:rPr>
            </w:pPr>
            <w:r>
              <w:rPr>
                <w:rFonts w:asciiTheme="minorEastAsia" w:hAnsiTheme="minorEastAsia" w:eastAsiaTheme="minorEastAsia"/>
                <w:sz w:val="20"/>
              </w:rPr>
              <w:t>南京市江宁区东山街道古庙北路1号</w:t>
            </w:r>
          </w:p>
        </w:tc>
        <w:tc>
          <w:tcPr>
            <w:tcW w:w="2267" w:type="dxa"/>
          </w:tcPr>
          <w:p>
            <w:pPr>
              <w:rPr>
                <w:lang w:val="de-DE" w:eastAsia="ja-JP"/>
              </w:rPr>
            </w:pPr>
            <w:r>
              <w:rPr>
                <w:rFonts w:hint="eastAsia" w:asciiTheme="minorEastAsia" w:hAnsiTheme="minorEastAsia" w:eastAsiaTheme="minorEastAsia"/>
                <w:sz w:val="20"/>
                <w:lang w:val="en-US" w:eastAsia="zh-CN"/>
              </w:rPr>
              <w:t>江苏省</w:t>
            </w:r>
            <w:r>
              <w:rPr>
                <w:rFonts w:asciiTheme="minorEastAsia" w:hAnsiTheme="minorEastAsia" w:eastAsiaTheme="minorEastAsia"/>
                <w:sz w:val="20"/>
              </w:rPr>
              <w:t>南京市江宁区东山街道古庙北路1号</w:t>
            </w:r>
          </w:p>
        </w:tc>
        <w:tc>
          <w:tcPr>
            <w:tcW w:w="571" w:type="dxa"/>
            <w:vAlign w:val="center"/>
          </w:tcPr>
          <w:p>
            <w:pPr>
              <w:rPr>
                <w:rFonts w:hint="default" w:eastAsia="宋体"/>
                <w:lang w:val="en-US" w:eastAsia="zh-CN"/>
              </w:rPr>
            </w:pPr>
            <w:r>
              <w:rPr>
                <w:rFonts w:hint="eastAsia"/>
                <w:lang w:val="en-US" w:eastAsia="zh-CN"/>
              </w:rPr>
              <w:t>12</w:t>
            </w:r>
          </w:p>
        </w:tc>
        <w:tc>
          <w:tcPr>
            <w:tcW w:w="2803" w:type="dxa"/>
            <w:vAlign w:val="center"/>
          </w:tcPr>
          <w:p>
            <w:pPr>
              <w:rPr>
                <w:lang w:eastAsia="ja-JP"/>
              </w:rPr>
            </w:pPr>
            <w:r>
              <w:rPr>
                <w:sz w:val="20"/>
              </w:rPr>
              <w:t>位于江苏省南京市江宁区东山街道古庙北路1号</w:t>
            </w:r>
            <w:r>
              <w:rPr>
                <w:sz w:val="21"/>
                <w:szCs w:val="21"/>
              </w:rPr>
              <w:t>南京康智和农产品有限公司</w:t>
            </w:r>
            <w:r>
              <w:rPr>
                <w:sz w:val="20"/>
              </w:rPr>
              <w:t>的预包装食品（含冷藏冷冻食品）销售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pPr>
              <w:rPr>
                <w:rFonts w:hint="default" w:eastAsia="宋体"/>
                <w:lang w:val="en-US" w:eastAsia="zh-CN"/>
              </w:rPr>
            </w:pPr>
            <w:r>
              <w:rPr>
                <w:rFonts w:hint="eastAsia"/>
                <w:lang w:val="en-US" w:eastAsia="zh-CN"/>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0"/>
              </w:rPr>
              <w:t>位于江苏省南京市江宁区东山街道古庙北路1号</w:t>
            </w:r>
            <w:r>
              <w:rPr>
                <w:sz w:val="21"/>
                <w:szCs w:val="21"/>
              </w:rPr>
              <w:t>南京康智和农产品有限公司</w:t>
            </w:r>
            <w:r>
              <w:rPr>
                <w:sz w:val="20"/>
              </w:rPr>
              <w:t>的预包装食品（含冷藏冷冻食品）销售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9" w:hRule="exact"/>
          <w:jc w:val="center"/>
        </w:trPr>
        <w:tc>
          <w:tcPr>
            <w:tcW w:w="1842" w:type="dxa"/>
          </w:tcPr>
          <w:p>
            <w:bookmarkStart w:id="40" w:name="_GoBack" w:colFirst="1" w:colLast="3"/>
            <w:r>
              <w:rPr>
                <w:rFonts w:hint="eastAsia"/>
              </w:rPr>
              <w:t>审核组长签字</w:t>
            </w:r>
          </w:p>
        </w:tc>
        <w:tc>
          <w:tcPr>
            <w:tcW w:w="2764" w:type="dxa"/>
            <w:tcMar>
              <w:left w:w="113" w:type="dxa"/>
            </w:tcMar>
          </w:tcPr>
          <w:p>
            <w:pPr>
              <w:rPr>
                <w:highlight w:val="none"/>
              </w:rPr>
            </w:pPr>
          </w:p>
          <w:p>
            <w:pPr>
              <w:rPr>
                <w:rFonts w:hint="eastAsia" w:eastAsia="宋体"/>
                <w:highlight w:val="none"/>
                <w:lang w:eastAsia="zh-CN"/>
              </w:rPr>
            </w:pPr>
            <w:r>
              <w:rPr>
                <w:rFonts w:hint="eastAsia" w:eastAsia="宋体"/>
                <w:highlight w:val="none"/>
                <w:lang w:eastAsia="zh-CN"/>
              </w:rPr>
              <w:drawing>
                <wp:inline distT="0" distB="0" distL="114300" distR="114300">
                  <wp:extent cx="1066800" cy="615950"/>
                  <wp:effectExtent l="0" t="0" r="0" b="6350"/>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1066800" cy="615950"/>
                          </a:xfrm>
                          <a:prstGeom prst="rect">
                            <a:avLst/>
                          </a:prstGeom>
                        </pic:spPr>
                      </pic:pic>
                    </a:graphicData>
                  </a:graphic>
                </wp:inline>
              </w:drawing>
            </w: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2022-02-25</w:t>
            </w:r>
          </w:p>
        </w:tc>
      </w:tr>
      <w:bookmarkEnd w:id="40"/>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A3"/>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法律法规 □技术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竞争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市场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文化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社会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经济环境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政治环境□</w:t>
                  </w:r>
                  <w:r>
                    <w:rPr>
                      <w:rFonts w:hint="eastAsia"/>
                      <w:color w:val="000000"/>
                      <w:szCs w:val="21"/>
                      <w:highlight w:val="none"/>
                    </w:rPr>
                    <w:t>网络安全</w:t>
                  </w:r>
                  <w:r>
                    <w:rPr>
                      <w:rFonts w:hint="eastAsia"/>
                      <w:szCs w:val="21"/>
                      <w:highlight w:val="none"/>
                    </w:rPr>
                    <w:sym w:font="Wingdings 2" w:char="0052"/>
                  </w:r>
                  <w:r>
                    <w:rPr>
                      <w:rFonts w:hint="eastAsia"/>
                      <w:color w:val="000000"/>
                      <w:szCs w:val="21"/>
                      <w:highlight w:val="none"/>
                    </w:rPr>
                    <w:t xml:space="preserve">食品欺诈 </w:t>
                  </w:r>
                  <w:r>
                    <w:rPr>
                      <w:rFonts w:hint="eastAsia"/>
                      <w:szCs w:val="21"/>
                      <w:highlight w:val="none"/>
                    </w:rPr>
                    <w:sym w:font="Wingdings 2" w:char="0052"/>
                  </w:r>
                  <w:r>
                    <w:rPr>
                      <w:rFonts w:hint="eastAsia"/>
                      <w:color w:val="000000"/>
                      <w:szCs w:val="21"/>
                      <w:highlight w:val="none"/>
                    </w:rPr>
                    <w:t xml:space="preserve">食品防护 </w:t>
                  </w:r>
                  <w:r>
                    <w:rPr>
                      <w:rFonts w:hint="eastAsia"/>
                      <w:szCs w:val="21"/>
                      <w:highlight w:val="none"/>
                    </w:rPr>
                    <w:sym w:font="Wingdings 2" w:char="0052"/>
                  </w:r>
                  <w:r>
                    <w:rPr>
                      <w:rFonts w:hint="eastAsia"/>
                      <w:color w:val="000000"/>
                      <w:szCs w:val="21"/>
                      <w:highlight w:val="none"/>
                    </w:rPr>
                    <w:t xml:space="preserve">蓄意污染 </w:t>
                  </w:r>
                  <w:r>
                    <w:rPr>
                      <w:rFonts w:hint="eastAsia"/>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价值观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文化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知识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绩效 □工艺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设备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szCs w:val="21"/>
                      <w:highlight w:val="none"/>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A3"/>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A3"/>
                  </w:r>
                  <w:r>
                    <w:rPr>
                      <w:rFonts w:hint="eastAsia"/>
                    </w:rPr>
                    <w:t>其他</w:t>
                  </w:r>
                </w:p>
              </w:tc>
              <w:tc>
                <w:tcPr>
                  <w:tcW w:w="6912" w:type="dxa"/>
                </w:tcPr>
                <w:p>
                  <w:pPr>
                    <w:shd w:val="clear" w:color="auto" w:fill="F4B8FF"/>
                    <w:rPr>
                      <w:rFonts w:hint="eastAsia" w:eastAsia="宋体"/>
                      <w:lang w:val="en-US" w:eastAsia="zh-CN"/>
                    </w:rPr>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eastAsia="宋体"/>
                <w:lang w:eastAsia="zh-CN"/>
              </w:rPr>
            </w:pPr>
            <w:r>
              <w:rPr>
                <w:rFonts w:hint="eastAsia"/>
              </w:rPr>
              <w:sym w:font="Wingdings 2" w:char="0052"/>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r>
              <w:rPr>
                <w:rFonts w:hint="eastAsia"/>
                <w:lang w:eastAsia="zh-CN"/>
              </w:rPr>
              <w:t>）</w:t>
            </w:r>
          </w:p>
          <w:p>
            <w:pPr>
              <w:shd w:val="clear" w:color="auto" w:fill="F4B8FF"/>
              <w:spacing w:before="40" w:after="40"/>
            </w:pPr>
          </w:p>
          <w:p>
            <w:pPr>
              <w:shd w:val="clear" w:color="auto" w:fill="F4B8FF"/>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shd w:val="clear" w:color="auto" w:fill="F4B8FF"/>
              <w:rPr>
                <w:rFonts w:hint="eastAsia"/>
                <w:highlight w:val="yellow"/>
                <w:lang w:val="en-US" w:eastAsia="zh-CN"/>
              </w:rPr>
            </w:pPr>
          </w:p>
          <w:p>
            <w:pPr>
              <w:pStyle w:val="2"/>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rPr>
                <w:b/>
                <w:bCs/>
                <w:u w:val="single"/>
              </w:rPr>
            </w:pPr>
            <w:r>
              <w:rPr>
                <w:rFonts w:hint="eastAsia"/>
                <w:u w:val="single"/>
              </w:rPr>
              <w:t xml:space="preserve"> </w:t>
            </w:r>
            <w:r>
              <w:rPr>
                <w:rFonts w:hint="eastAsia"/>
                <w:b/>
                <w:u w:val="single"/>
              </w:rPr>
              <w:t xml:space="preserve"> </w:t>
            </w:r>
            <w:r>
              <w:rPr>
                <w:rFonts w:hint="eastAsia"/>
                <w:b/>
                <w:szCs w:val="21"/>
                <w:u w:val="single"/>
              </w:rPr>
              <w:t>品质为本   系统管理    精益求精    满足顾客</w:t>
            </w:r>
            <w:r>
              <w:rPr>
                <w:rFonts w:hint="eastAsia"/>
                <w:b/>
                <w:bCs/>
                <w:u w:val="single"/>
              </w:rPr>
              <w:t xml:space="preserve">        </w:t>
            </w:r>
          </w:p>
          <w:p>
            <w:pPr>
              <w:shd w:val="clear" w:color="auto" w:fill="F4B8FF"/>
              <w:rPr>
                <w:rFonts w:hint="eastAsia"/>
                <w:b/>
                <w:bCs/>
                <w:highlight w:val="yellow"/>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聂勇</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44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4426"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食物中毒</w:t>
                  </w:r>
                </w:p>
              </w:tc>
              <w:tc>
                <w:tcPr>
                  <w:tcW w:w="4426" w:type="dxa"/>
                  <w:vAlign w:val="top"/>
                </w:tcPr>
                <w:p>
                  <w:pPr>
                    <w:numPr>
                      <w:ilvl w:val="0"/>
                      <w:numId w:val="2"/>
                    </w:numPr>
                    <w:rPr>
                      <w:rFonts w:hint="default"/>
                      <w:b w:val="0"/>
                      <w:bCs w:val="0"/>
                      <w:highlight w:val="none"/>
                      <w:lang w:val="en-US" w:eastAsia="zh-CN"/>
                    </w:rPr>
                  </w:pPr>
                  <w:r>
                    <w:rPr>
                      <w:rFonts w:hint="eastAsia"/>
                      <w:b w:val="0"/>
                      <w:bCs w:val="0"/>
                      <w:highlight w:val="none"/>
                      <w:lang w:val="en-US" w:eastAsia="zh-CN"/>
                    </w:rPr>
                    <w:t>加强冷藏冷冻品的库存管理；</w:t>
                  </w:r>
                </w:p>
                <w:p>
                  <w:pPr>
                    <w:pStyle w:val="2"/>
                    <w:numPr>
                      <w:ilvl w:val="0"/>
                      <w:numId w:val="2"/>
                    </w:numPr>
                    <w:tabs>
                      <w:tab w:val="left" w:pos="540"/>
                    </w:tabs>
                    <w:ind w:left="0" w:leftChars="0" w:firstLine="0" w:firstLineChars="0"/>
                    <w:rPr>
                      <w:rFonts w:hint="default"/>
                      <w:b w:val="0"/>
                      <w:bCs w:val="0"/>
                      <w:highlight w:val="none"/>
                      <w:lang w:val="en-US" w:eastAsia="zh-CN"/>
                    </w:rPr>
                  </w:pPr>
                  <w:r>
                    <w:rPr>
                      <w:rFonts w:hint="eastAsia"/>
                      <w:b w:val="0"/>
                      <w:bCs w:val="0"/>
                      <w:szCs w:val="21"/>
                      <w:highlight w:val="none"/>
                      <w:lang w:val="en-US" w:eastAsia="zh-CN"/>
                    </w:rPr>
                    <w:t>加强对配送路线、配送时间的管理；</w:t>
                  </w:r>
                </w:p>
                <w:p>
                  <w:pPr>
                    <w:pStyle w:val="2"/>
                    <w:numPr>
                      <w:ilvl w:val="0"/>
                      <w:numId w:val="2"/>
                    </w:numPr>
                    <w:tabs>
                      <w:tab w:val="left" w:pos="540"/>
                    </w:tabs>
                    <w:ind w:left="0" w:leftChars="0" w:firstLine="0" w:firstLineChars="0"/>
                    <w:rPr>
                      <w:rFonts w:hint="default" w:ascii="Times New Roman" w:hAnsi="Times New Roman" w:eastAsia="宋体" w:cs="Times New Roman"/>
                      <w:b w:val="0"/>
                      <w:bCs w:val="0"/>
                      <w:kern w:val="0"/>
                      <w:sz w:val="21"/>
                      <w:szCs w:val="24"/>
                      <w:highlight w:val="none"/>
                      <w:lang w:val="en-US" w:eastAsia="zh-CN" w:bidi="ar-SA"/>
                    </w:rPr>
                  </w:pPr>
                  <w:r>
                    <w:rPr>
                      <w:rFonts w:hint="eastAsia"/>
                      <w:b w:val="0"/>
                      <w:bCs w:val="0"/>
                      <w:szCs w:val="21"/>
                      <w:highlight w:val="none"/>
                      <w:lang w:val="en-US" w:eastAsia="zh-CN"/>
                    </w:rPr>
                    <w:t>对人员进行食品安全意识培训</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top"/>
                </w:tcPr>
                <w:p>
                  <w:pPr>
                    <w:rPr>
                      <w:rFonts w:hint="eastAsia" w:ascii="Times New Roman" w:hAnsi="Times New Roman" w:eastAsia="宋体" w:cs="Times New Roman"/>
                      <w:kern w:val="2"/>
                      <w:sz w:val="21"/>
                      <w:szCs w:val="24"/>
                      <w:highlight w:val="yellow"/>
                      <w:lang w:val="en-US" w:eastAsia="zh-CN" w:bidi="ar-SA"/>
                    </w:rPr>
                  </w:pPr>
                  <w:r>
                    <w:rPr>
                      <w:rFonts w:hint="eastAsia"/>
                      <w:szCs w:val="24"/>
                      <w:highlight w:val="none"/>
                      <w:lang w:val="en-US" w:eastAsia="zh-CN"/>
                    </w:rPr>
                    <w:t>车辆故障导致食材变质</w:t>
                  </w:r>
                </w:p>
              </w:tc>
              <w:tc>
                <w:tcPr>
                  <w:tcW w:w="4426" w:type="dxa"/>
                  <w:vAlign w:val="top"/>
                </w:tcPr>
                <w:p>
                  <w:pPr>
                    <w:numPr>
                      <w:ilvl w:val="0"/>
                      <w:numId w:val="3"/>
                    </w:numPr>
                    <w:rPr>
                      <w:rFonts w:hint="default"/>
                      <w:b w:val="0"/>
                      <w:bCs w:val="0"/>
                      <w:lang w:val="en-US" w:eastAsia="zh-CN"/>
                    </w:rPr>
                  </w:pPr>
                  <w:r>
                    <w:rPr>
                      <w:rFonts w:hint="eastAsia"/>
                      <w:b w:val="0"/>
                      <w:bCs w:val="0"/>
                      <w:lang w:val="en-US" w:eastAsia="zh-CN"/>
                    </w:rPr>
                    <w:t>加强对车辆的维保；</w:t>
                  </w:r>
                </w:p>
                <w:p>
                  <w:pPr>
                    <w:pStyle w:val="2"/>
                    <w:numPr>
                      <w:ilvl w:val="0"/>
                      <w:numId w:val="3"/>
                    </w:numPr>
                    <w:tabs>
                      <w:tab w:val="left" w:pos="540"/>
                    </w:tabs>
                    <w:ind w:left="0" w:leftChars="0" w:firstLine="0" w:firstLineChars="0"/>
                    <w:rPr>
                      <w:rFonts w:hint="eastAsia" w:ascii="Times New Roman" w:hAnsi="Times New Roman" w:eastAsia="宋体" w:cs="Times New Roman"/>
                      <w:b w:val="0"/>
                      <w:bCs w:val="0"/>
                      <w:kern w:val="0"/>
                      <w:sz w:val="21"/>
                      <w:szCs w:val="24"/>
                      <w:lang w:val="en-US" w:eastAsia="zh-CN" w:bidi="ar-SA"/>
                    </w:rPr>
                  </w:pPr>
                  <w:r>
                    <w:rPr>
                      <w:rFonts w:hint="eastAsia"/>
                      <w:b w:val="0"/>
                      <w:bCs w:val="0"/>
                      <w:lang w:val="en-US" w:eastAsia="zh-CN"/>
                    </w:rPr>
                    <w:t>定期组织应急演练并对应急预案进行评审</w:t>
                  </w:r>
                </w:p>
              </w:tc>
              <w:tc>
                <w:tcPr>
                  <w:tcW w:w="1717" w:type="dxa"/>
                  <w:vAlign w:val="top"/>
                </w:tcPr>
                <w:p>
                  <w:pPr>
                    <w:rPr>
                      <w:rFonts w:hint="eastAsia"/>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4426"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受新冠疫情影响、各阶层重视饮食健康，</w:t>
                  </w:r>
                  <w:r>
                    <w:t>招投标市场</w:t>
                  </w:r>
                  <w:r>
                    <w:rPr>
                      <w:rFonts w:hint="eastAsia"/>
                    </w:rPr>
                    <w:t>需</w:t>
                  </w:r>
                  <w:r>
                    <w:t>求大</w:t>
                  </w:r>
                </w:p>
              </w:tc>
              <w:tc>
                <w:tcPr>
                  <w:tcW w:w="4426" w:type="dxa"/>
                  <w:vAlign w:val="top"/>
                </w:tcPr>
                <w:p>
                  <w:pPr>
                    <w:numPr>
                      <w:ilvl w:val="0"/>
                      <w:numId w:val="4"/>
                    </w:numPr>
                    <w:rPr>
                      <w:rFonts w:hint="default" w:eastAsia="宋体"/>
                      <w:lang w:val="en-US" w:eastAsia="zh-CN"/>
                    </w:rPr>
                  </w:pPr>
                  <w:r>
                    <w:rPr>
                      <w:rFonts w:hint="eastAsia"/>
                      <w:lang w:val="en-US" w:eastAsia="zh-CN"/>
                    </w:rPr>
                    <w:t>打好管理基础；</w:t>
                  </w:r>
                </w:p>
                <w:p>
                  <w:pPr>
                    <w:numPr>
                      <w:ilvl w:val="0"/>
                      <w:numId w:val="4"/>
                    </w:numPr>
                    <w:rPr>
                      <w:rFonts w:hint="default" w:ascii="Times New Roman" w:hAnsi="Times New Roman" w:eastAsia="宋体" w:cs="Times New Roman"/>
                      <w:kern w:val="2"/>
                      <w:sz w:val="21"/>
                      <w:szCs w:val="24"/>
                      <w:lang w:val="en-US" w:eastAsia="zh-CN" w:bidi="ar-SA"/>
                    </w:rPr>
                  </w:pPr>
                  <w:r>
                    <w:rPr>
                      <w:rFonts w:hint="eastAsia"/>
                      <w:lang w:val="en-US" w:eastAsia="zh-CN"/>
                    </w:rPr>
                    <w:t>加强对销售过程的食品安全控制；</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shd w:val="clear" w:color="auto" w:fill="F4B8FF"/>
                  </w:pPr>
                </w:p>
              </w:tc>
              <w:tc>
                <w:tcPr>
                  <w:tcW w:w="4426"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6"/>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982"/>
              <w:gridCol w:w="1154"/>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shd w:val="clear" w:color="auto" w:fill="auto"/>
                  <w:vAlign w:val="top"/>
                </w:tcPr>
                <w:p>
                  <w:pPr>
                    <w:rPr>
                      <w:rFonts w:ascii="宋体" w:hAnsi="宋体" w:eastAsia="宋体" w:cs="Times New Roman"/>
                      <w:kern w:val="2"/>
                      <w:sz w:val="21"/>
                      <w:szCs w:val="21"/>
                      <w:lang w:val="en-US" w:eastAsia="zh-CN" w:bidi="ar-SA"/>
                    </w:rPr>
                  </w:pPr>
                  <w:r>
                    <w:rPr>
                      <w:rFonts w:hint="eastAsia" w:ascii="宋体" w:hAnsi="宋体"/>
                      <w:szCs w:val="21"/>
                    </w:rPr>
                    <w:t>食品安全目标</w:t>
                  </w:r>
                </w:p>
              </w:tc>
              <w:tc>
                <w:tcPr>
                  <w:tcW w:w="2982" w:type="dxa"/>
                  <w:shd w:val="clear" w:color="auto" w:fill="auto"/>
                  <w:vAlign w:val="top"/>
                </w:tcPr>
                <w:p>
                  <w:pPr>
                    <w:rPr>
                      <w:rFonts w:ascii="宋体" w:hAnsi="宋体" w:eastAsia="宋体" w:cs="Times New Roman"/>
                      <w:kern w:val="2"/>
                      <w:sz w:val="21"/>
                      <w:szCs w:val="21"/>
                      <w:lang w:val="en-GB" w:eastAsia="zh-CN" w:bidi="ar-SA"/>
                    </w:rPr>
                  </w:pPr>
                  <w:r>
                    <w:rPr>
                      <w:rFonts w:hint="eastAsia" w:ascii="宋体" w:hAnsi="宋体"/>
                      <w:szCs w:val="21"/>
                    </w:rPr>
                    <w:t>计算方法</w:t>
                  </w:r>
                </w:p>
              </w:tc>
              <w:tc>
                <w:tcPr>
                  <w:tcW w:w="1154" w:type="dxa"/>
                  <w:shd w:val="clear" w:color="auto" w:fill="auto"/>
                  <w:vAlign w:val="top"/>
                </w:tcPr>
                <w:p>
                  <w:pPr>
                    <w:rPr>
                      <w:rFonts w:ascii="宋体" w:hAnsi="宋体" w:eastAsia="宋体" w:cs="Times New Roman"/>
                      <w:kern w:val="2"/>
                      <w:sz w:val="21"/>
                      <w:szCs w:val="21"/>
                      <w:lang w:val="en-GB" w:eastAsia="zh-CN" w:bidi="ar-SA"/>
                    </w:rPr>
                  </w:pPr>
                  <w:r>
                    <w:rPr>
                      <w:rFonts w:hint="eastAsia" w:ascii="宋体" w:hAnsi="宋体"/>
                      <w:szCs w:val="21"/>
                    </w:rPr>
                    <w:t>责任部门</w:t>
                  </w:r>
                </w:p>
              </w:tc>
              <w:tc>
                <w:tcPr>
                  <w:tcW w:w="1927" w:type="dxa"/>
                  <w:shd w:val="clear" w:color="auto" w:fill="auto"/>
                  <w:vAlign w:val="top"/>
                </w:tcPr>
                <w:p>
                  <w:pPr>
                    <w:rPr>
                      <w:rFonts w:ascii="宋体" w:hAnsi="宋体"/>
                      <w:szCs w:val="21"/>
                    </w:rPr>
                  </w:pPr>
                  <w:r>
                    <w:rPr>
                      <w:rFonts w:hint="eastAsia" w:ascii="宋体" w:hAnsi="宋体"/>
                      <w:szCs w:val="21"/>
                    </w:rPr>
                    <w:t>目标实际完成</w:t>
                  </w:r>
                </w:p>
                <w:p>
                  <w:pPr>
                    <w:rPr>
                      <w:rFonts w:ascii="宋体" w:hAnsi="宋体" w:eastAsia="宋体" w:cs="Times New Roman"/>
                      <w:kern w:val="2"/>
                      <w:sz w:val="21"/>
                      <w:szCs w:val="21"/>
                      <w:lang w:val="en-GB" w:eastAsia="zh-CN" w:bidi="ar-SA"/>
                    </w:rPr>
                  </w:pPr>
                  <w:r>
                    <w:rPr>
                      <w:rFonts w:hint="eastAsia" w:ascii="宋体" w:hAnsi="宋体"/>
                      <w:szCs w:val="21"/>
                    </w:rPr>
                    <w:t>（</w:t>
                  </w:r>
                  <w:r>
                    <w:rPr>
                      <w:rFonts w:hint="eastAsia" w:ascii="宋体" w:hAnsi="宋体"/>
                      <w:szCs w:val="21"/>
                      <w:lang w:val="en-US" w:eastAsia="zh-CN"/>
                    </w:rPr>
                    <w:t>2021.02-22.01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shd w:val="clear" w:color="auto" w:fill="auto"/>
                  <w:vAlign w:val="top"/>
                </w:tcPr>
                <w:p>
                  <w:pPr>
                    <w:spacing w:line="400" w:lineRule="exact"/>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Cs/>
                      <w:szCs w:val="21"/>
                    </w:rPr>
                    <w:t>杜绝重大的安全质量事故</w:t>
                  </w:r>
                </w:p>
              </w:tc>
              <w:tc>
                <w:tcPr>
                  <w:tcW w:w="2982" w:type="dxa"/>
                  <w:shd w:val="clear" w:color="auto" w:fill="auto"/>
                  <w:vAlign w:val="top"/>
                </w:tcPr>
                <w:p>
                  <w:pPr>
                    <w:rPr>
                      <w:rFonts w:cs="Times New Roman" w:asciiTheme="minorEastAsia" w:hAnsiTheme="minorEastAsia" w:eastAsiaTheme="minorEastAsia"/>
                      <w:color w:val="000000"/>
                      <w:kern w:val="2"/>
                      <w:sz w:val="21"/>
                      <w:szCs w:val="21"/>
                      <w:lang w:val="en-GB" w:eastAsia="zh-CN" w:bidi="ar-SA"/>
                    </w:rPr>
                  </w:pPr>
                  <w:r>
                    <w:rPr>
                      <w:rFonts w:hint="eastAsia" w:asciiTheme="minorEastAsia" w:hAnsiTheme="minorEastAsia" w:eastAsiaTheme="minorEastAsia"/>
                      <w:color w:val="000000"/>
                      <w:szCs w:val="21"/>
                    </w:rPr>
                    <w:t>实际发生次数</w:t>
                  </w:r>
                </w:p>
              </w:tc>
              <w:tc>
                <w:tcPr>
                  <w:tcW w:w="1154" w:type="dxa"/>
                  <w:shd w:val="clear" w:color="auto" w:fill="auto"/>
                  <w:vAlign w:val="top"/>
                </w:tcPr>
                <w:p>
                  <w:pPr>
                    <w:rPr>
                      <w:rFonts w:hint="eastAsia" w:cs="Times New Roman" w:asciiTheme="minorEastAsia" w:hAnsiTheme="minorEastAsia" w:eastAsiaTheme="minorEastAsia"/>
                      <w:color w:val="000000"/>
                      <w:kern w:val="2"/>
                      <w:sz w:val="21"/>
                      <w:szCs w:val="21"/>
                      <w:lang w:val="en-GB" w:eastAsia="zh-CN" w:bidi="ar-SA"/>
                    </w:rPr>
                  </w:pPr>
                  <w:r>
                    <w:rPr>
                      <w:rFonts w:hint="eastAsia" w:asciiTheme="minorEastAsia" w:hAnsiTheme="minorEastAsia" w:eastAsiaTheme="minorEastAsia"/>
                      <w:color w:val="000000"/>
                      <w:szCs w:val="21"/>
                    </w:rPr>
                    <w:t>市场</w:t>
                  </w:r>
                  <w:r>
                    <w:rPr>
                      <w:rFonts w:asciiTheme="minorEastAsia" w:hAnsiTheme="minorEastAsia" w:eastAsiaTheme="minorEastAsia"/>
                      <w:color w:val="000000"/>
                      <w:szCs w:val="21"/>
                    </w:rPr>
                    <w:t>部</w:t>
                  </w:r>
                </w:p>
              </w:tc>
              <w:tc>
                <w:tcPr>
                  <w:tcW w:w="1927" w:type="dxa"/>
                  <w:shd w:val="clear" w:color="auto" w:fill="auto"/>
                  <w:vAlign w:val="top"/>
                </w:tcPr>
                <w:p>
                  <w:pPr>
                    <w:rPr>
                      <w:rFonts w:hint="eastAsia" w:cs="Times New Roman" w:asciiTheme="minorEastAsia" w:hAnsiTheme="minorEastAsia" w:eastAsiaTheme="minorEastAsia"/>
                      <w:color w:val="000000"/>
                      <w:kern w:val="2"/>
                      <w:sz w:val="21"/>
                      <w:szCs w:val="21"/>
                      <w:lang w:val="en-GB" w:eastAsia="zh-CN" w:bidi="ar-SA"/>
                    </w:rPr>
                  </w:pPr>
                  <w:r>
                    <w:rPr>
                      <w:rFonts w:hint="eastAsia" w:asciiTheme="minorEastAsia" w:hAnsiTheme="minorEastAsia" w:eastAsiaTheme="minor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shd w:val="clear" w:color="auto" w:fill="auto"/>
                  <w:vAlign w:val="top"/>
                </w:tcPr>
                <w:p>
                  <w:pPr>
                    <w:spacing w:line="240" w:lineRule="auto"/>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Cs/>
                      <w:szCs w:val="21"/>
                    </w:rPr>
                    <w:t>产品出厂一次检验合格率≥99%</w:t>
                  </w:r>
                </w:p>
              </w:tc>
              <w:tc>
                <w:tcPr>
                  <w:tcW w:w="2982"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szCs w:val="21"/>
                    </w:rPr>
                    <w:t>出厂产品合格数量/所有出厂的产品数×100%</w:t>
                  </w:r>
                </w:p>
              </w:tc>
              <w:tc>
                <w:tcPr>
                  <w:tcW w:w="1154" w:type="dxa"/>
                  <w:shd w:val="clear" w:color="auto" w:fill="auto"/>
                  <w:vAlign w:val="top"/>
                </w:tcPr>
                <w:p>
                  <w:pPr>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szCs w:val="21"/>
                    </w:rPr>
                    <w:t>市场</w:t>
                  </w:r>
                  <w:r>
                    <w:rPr>
                      <w:rFonts w:asciiTheme="minorEastAsia" w:hAnsiTheme="minorEastAsia" w:eastAsiaTheme="minorEastAsia"/>
                      <w:szCs w:val="21"/>
                    </w:rPr>
                    <w:t>部</w:t>
                  </w:r>
                </w:p>
              </w:tc>
              <w:tc>
                <w:tcPr>
                  <w:tcW w:w="1927" w:type="dxa"/>
                  <w:shd w:val="clear" w:color="auto" w:fill="auto"/>
                  <w:vAlign w:val="top"/>
                </w:tcPr>
                <w:p>
                  <w:pPr>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szCs w:val="21"/>
                    </w:rPr>
                    <w:t>100%</w:t>
                  </w:r>
                </w:p>
              </w:tc>
            </w:tr>
          </w:tbl>
          <w:p>
            <w:pPr>
              <w:pStyle w:val="2"/>
              <w:ind w:left="0" w:leftChars="0" w:firstLine="0" w:firstLineChars="0"/>
              <w:rPr>
                <w:rFonts w:hint="eastAsia"/>
              </w:rPr>
            </w:pPr>
          </w:p>
          <w:p>
            <w:pPr>
              <w:shd w:val="clear" w:color="auto" w:fill="F4B8FF"/>
              <w:rPr>
                <w:rFonts w:hint="eastAsia" w:eastAsia="宋体"/>
                <w:u w:val="single"/>
                <w:lang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2021年度已实现，2022年2月目标在实施中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rPr>
                <w:rFonts w:hint="default"/>
                <w:lang w:val="en-US" w:eastAsia="zh-CN"/>
              </w:rPr>
            </w:pPr>
            <w:r>
              <w:rPr>
                <w:rFonts w:hint="eastAsia"/>
              </w:rPr>
              <w:sym w:font="Wingdings 2" w:char="00A3"/>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highlight w:val="none"/>
              </w:rPr>
            </w:pPr>
            <w:r>
              <w:rPr>
                <w:rFonts w:hint="eastAsia"/>
                <w:highlight w:val="none"/>
              </w:rPr>
              <w:t>组织应确定、提供并维护所需的基础设施情况：</w:t>
            </w:r>
          </w:p>
          <w:p>
            <w:pPr>
              <w:pStyle w:val="6"/>
              <w:rPr>
                <w:rFonts w:hint="eastAsia"/>
                <w:highlight w:val="none"/>
                <w:u w:val="single"/>
              </w:rPr>
            </w:pPr>
          </w:p>
          <w:p>
            <w:pPr>
              <w:spacing w:line="360" w:lineRule="auto"/>
              <w:rPr>
                <w:rFonts w:hint="default" w:eastAsia="宋体"/>
                <w:highlight w:val="cyan"/>
                <w:lang w:val="en-US" w:eastAsia="zh-CN"/>
              </w:rPr>
            </w:pPr>
            <w:r>
              <w:rPr>
                <w:rFonts w:hint="eastAsia"/>
              </w:rPr>
              <w:t>建筑面积约</w:t>
            </w:r>
            <w:r>
              <w:rPr>
                <w:rFonts w:hint="eastAsia"/>
                <w:u w:val="single"/>
              </w:rPr>
              <w:t xml:space="preserve"> </w:t>
            </w:r>
            <w:r>
              <w:rPr>
                <w:u w:val="single"/>
              </w:rPr>
              <w:t xml:space="preserve">  1500   </w:t>
            </w:r>
            <w:r>
              <w:rPr>
                <w:rFonts w:hint="eastAsia"/>
              </w:rPr>
              <w:t>平方米；其</w:t>
            </w:r>
            <w:r>
              <w:t>中，办</w:t>
            </w:r>
            <w:r>
              <w:rPr>
                <w:rFonts w:hint="eastAsia"/>
              </w:rPr>
              <w:t>公</w:t>
            </w:r>
            <w:r>
              <w:t>室</w:t>
            </w:r>
            <w:r>
              <w:rPr>
                <w:rFonts w:hint="eastAsia"/>
              </w:rPr>
              <w:t>约</w:t>
            </w:r>
            <w:r>
              <w:rPr>
                <w:rFonts w:hint="eastAsia"/>
                <w:u w:val="single"/>
              </w:rPr>
              <w:t>300</w:t>
            </w:r>
            <w:r>
              <w:rPr>
                <w:rFonts w:hint="eastAsia"/>
              </w:rPr>
              <w:t>平</w:t>
            </w:r>
            <w:r>
              <w:t>方米，</w:t>
            </w:r>
            <w:r>
              <w:rPr>
                <w:rFonts w:hint="eastAsia"/>
              </w:rPr>
              <w:t>配</w:t>
            </w:r>
            <w:r>
              <w:t>送</w:t>
            </w:r>
            <w:r>
              <w:rPr>
                <w:rFonts w:hint="eastAsia"/>
              </w:rPr>
              <w:t>场</w:t>
            </w:r>
            <w:r>
              <w:t>地</w:t>
            </w:r>
            <w:r>
              <w:rPr>
                <w:rFonts w:hint="eastAsia"/>
              </w:rPr>
              <w:t>约</w:t>
            </w:r>
            <w:r>
              <w:rPr>
                <w:u w:val="single"/>
              </w:rPr>
              <w:t>1200</w:t>
            </w:r>
            <w:r>
              <w:rPr>
                <w:rFonts w:hint="eastAsia"/>
              </w:rPr>
              <w:t>平</w:t>
            </w:r>
            <w:r>
              <w:t>方米，</w:t>
            </w:r>
            <w:r>
              <w:rPr>
                <w:rFonts w:hint="eastAsia"/>
              </w:rPr>
              <w:t>其</w:t>
            </w:r>
            <w:r>
              <w:t>中冷冻冷藏</w:t>
            </w:r>
            <w:r>
              <w:rPr>
                <w:rFonts w:hint="eastAsia"/>
              </w:rPr>
              <w:t>库</w:t>
            </w:r>
            <w:r>
              <w:rPr>
                <w:rFonts w:hint="eastAsia"/>
                <w:lang w:val="en-US" w:eastAsia="zh-CN"/>
              </w:rPr>
              <w:t>各</w:t>
            </w:r>
            <w:r>
              <w:rPr>
                <w:rFonts w:hint="eastAsia"/>
                <w:u w:val="single"/>
                <w:lang w:val="en-US" w:eastAsia="zh-CN"/>
              </w:rPr>
              <w:t>1</w:t>
            </w:r>
            <w:r>
              <w:rPr>
                <w:rFonts w:hint="eastAsia"/>
              </w:rPr>
              <w:t>间；</w:t>
            </w:r>
            <w:r>
              <w:rPr>
                <w:rFonts w:hint="eastAsia"/>
                <w:u w:val="single"/>
                <w:lang w:val="en-US" w:eastAsia="zh-CN"/>
              </w:rPr>
              <w:t>配送车辆2辆（含1辆冷藏）；</w:t>
            </w:r>
          </w:p>
          <w:p>
            <w:pPr>
              <w:pStyle w:val="6"/>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5 </w:t>
            </w:r>
            <w:r>
              <w:rPr>
                <w:rFonts w:hint="eastAsia"/>
                <w:strike w:val="0"/>
                <w:dstrike w:val="0"/>
                <w:szCs w:val="21"/>
                <w:highlight w:val="none"/>
              </w:rPr>
              <w:t>家，例如：</w:t>
            </w:r>
          </w:p>
          <w:p>
            <w:pPr>
              <w:widowControl/>
              <w:numPr>
                <w:ilvl w:val="0"/>
                <w:numId w:val="5"/>
              </w:numPr>
              <w:snapToGrid w:val="0"/>
              <w:spacing w:before="40" w:after="40" w:line="264" w:lineRule="auto"/>
              <w:ind w:left="570" w:leftChars="0" w:firstLineChars="0"/>
              <w:rPr>
                <w:rFonts w:hint="eastAsia"/>
                <w:strike w:val="0"/>
                <w:dstrike w:val="0"/>
                <w:color w:val="auto"/>
                <w:szCs w:val="21"/>
                <w:highlight w:val="none"/>
                <w:u w:val="single"/>
                <w:lang w:val="en-US" w:eastAsia="zh-CN"/>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strike w:val="0"/>
                <w:dstrike w:val="0"/>
                <w:color w:val="auto"/>
                <w:szCs w:val="20"/>
                <w:highlight w:val="none"/>
                <w:u w:val="single"/>
                <w:lang w:val="en-US" w:eastAsia="zh-CN"/>
              </w:rPr>
              <w:t>酸奶（</w:t>
            </w:r>
            <w:r>
              <w:rPr>
                <w:rFonts w:hint="eastAsia"/>
                <w:color w:val="auto"/>
                <w:u w:val="single"/>
              </w:rPr>
              <w:t>南京光明乳业销售有限公司</w:t>
            </w:r>
            <w:r>
              <w:rPr>
                <w:rFonts w:hint="eastAsia"/>
                <w:strike w:val="0"/>
                <w:dstrike w:val="0"/>
                <w:color w:val="auto"/>
                <w:szCs w:val="20"/>
                <w:highlight w:val="none"/>
                <w:u w:val="single"/>
                <w:lang w:val="en-US" w:eastAsia="zh-CN"/>
              </w:rPr>
              <w:t>）、冷冻食品（</w:t>
            </w:r>
            <w:r>
              <w:rPr>
                <w:rFonts w:hint="eastAsia"/>
                <w:color w:val="auto"/>
                <w:u w:val="single"/>
                <w:lang w:val="en-US" w:eastAsia="zh-CN"/>
              </w:rPr>
              <w:t>冷冻品（冷冻鸡肉、狮子头（肉丸）、牛多多肉饼、蒜香粒粒吉、冷冻鸡肉、冷冻鸡翅根等）</w:t>
            </w:r>
            <w:r>
              <w:rPr>
                <w:rFonts w:hint="eastAsia" w:ascii="宋体" w:hAnsi="宋体" w:cs="宋体"/>
                <w:color w:val="auto"/>
                <w:sz w:val="21"/>
                <w:szCs w:val="21"/>
                <w:u w:val="single"/>
              </w:rPr>
              <w:t>正大</w:t>
            </w:r>
            <w:r>
              <w:rPr>
                <w:rFonts w:ascii="宋体" w:hAnsi="宋体" w:cs="宋体"/>
                <w:color w:val="auto"/>
                <w:sz w:val="21"/>
                <w:szCs w:val="21"/>
                <w:u w:val="single"/>
              </w:rPr>
              <w:t>食品</w:t>
            </w:r>
            <w:r>
              <w:rPr>
                <w:rFonts w:hint="eastAsia" w:ascii="宋体" w:hAnsi="宋体" w:cs="宋体"/>
                <w:color w:val="auto"/>
                <w:sz w:val="21"/>
                <w:szCs w:val="21"/>
                <w:u w:val="single"/>
              </w:rPr>
              <w:t>（</w:t>
            </w:r>
            <w:r>
              <w:rPr>
                <w:rFonts w:ascii="宋体" w:hAnsi="宋体" w:cs="宋体"/>
                <w:color w:val="auto"/>
                <w:sz w:val="21"/>
                <w:szCs w:val="21"/>
                <w:u w:val="single"/>
              </w:rPr>
              <w:t>宿</w:t>
            </w:r>
            <w:r>
              <w:rPr>
                <w:rFonts w:hint="eastAsia" w:ascii="宋体" w:hAnsi="宋体" w:cs="宋体"/>
                <w:color w:val="auto"/>
                <w:sz w:val="21"/>
                <w:szCs w:val="21"/>
                <w:u w:val="single"/>
              </w:rPr>
              <w:t>迁</w:t>
            </w:r>
            <w:r>
              <w:rPr>
                <w:rFonts w:ascii="宋体" w:hAnsi="宋体" w:cs="宋体"/>
                <w:color w:val="auto"/>
                <w:sz w:val="21"/>
                <w:szCs w:val="21"/>
                <w:u w:val="single"/>
              </w:rPr>
              <w:t>）有限公司</w:t>
            </w:r>
            <w:r>
              <w:rPr>
                <w:rFonts w:hint="eastAsia" w:ascii="宋体" w:hAnsi="宋体" w:cs="宋体"/>
                <w:color w:val="auto"/>
                <w:sz w:val="21"/>
                <w:szCs w:val="21"/>
                <w:u w:val="single"/>
                <w:lang w:eastAsia="zh-CN"/>
              </w:rPr>
              <w:t>、</w:t>
            </w:r>
            <w:r>
              <w:rPr>
                <w:rFonts w:hint="eastAsia"/>
                <w:color w:val="auto"/>
                <w:u w:val="single"/>
                <w:lang w:val="en-US" w:eastAsia="zh-CN"/>
              </w:rPr>
              <w:t>冷冻猪肉（山东龙达肉食品股份有限公司）、</w:t>
            </w:r>
            <w:r>
              <w:rPr>
                <w:rFonts w:hint="eastAsia"/>
                <w:color w:val="auto"/>
                <w:highlight w:val="none"/>
                <w:u w:val="single"/>
                <w:lang w:val="en-US" w:eastAsia="zh-CN"/>
              </w:rPr>
              <w:t>调味料（草菇老抽、鲜味生抽等） 佛山市海天（高明）调味食品有限公司</w:t>
            </w:r>
            <w:r>
              <w:rPr>
                <w:rFonts w:hint="eastAsia"/>
                <w:strike w:val="0"/>
                <w:dstrike w:val="0"/>
                <w:color w:val="auto"/>
                <w:szCs w:val="20"/>
                <w:highlight w:val="none"/>
                <w:u w:val="single"/>
                <w:lang w:val="en-US" w:eastAsia="zh-CN"/>
              </w:rPr>
              <w:t>等</w:t>
            </w:r>
          </w:p>
          <w:p>
            <w:pPr>
              <w:widowControl/>
              <w:numPr>
                <w:ilvl w:val="0"/>
                <w:numId w:val="5"/>
              </w:numP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5"/>
              </w:numP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主要是塑料袋，很少量；近期未采购</w:t>
            </w:r>
          </w:p>
          <w:p>
            <w:pPr>
              <w:widowControl/>
              <w:numPr>
                <w:ilvl w:val="0"/>
                <w:numId w:val="5"/>
              </w:numP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5"/>
              </w:numP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外包的供方——</w:t>
            </w:r>
            <w:r>
              <w:rPr>
                <w:rFonts w:hint="eastAsia"/>
                <w:strike w:val="0"/>
                <w:dstrike w:val="0"/>
                <w:color w:val="auto"/>
                <w:szCs w:val="21"/>
                <w:highlight w:val="none"/>
                <w:lang w:val="en-US" w:eastAsia="zh-CN"/>
              </w:rPr>
              <w:t>无</w:t>
            </w:r>
          </w:p>
          <w:p>
            <w:pPr>
              <w:shd w:val="clear" w:color="auto" w:fill="F4B8FF"/>
              <w:jc w:val="left"/>
              <w:rPr>
                <w:rFonts w:hint="eastAsia"/>
                <w:highlight w:val="none"/>
              </w:rPr>
            </w:pPr>
          </w:p>
          <w:p>
            <w:pPr>
              <w:shd w:val="clear" w:color="auto" w:fill="F4B8FF"/>
              <w:jc w:val="left"/>
              <w:rPr>
                <w:highlight w:val="yellow"/>
              </w:rPr>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□考核   □辅导 </w:t>
            </w:r>
            <w:r>
              <w:rPr>
                <w:rFonts w:hint="eastAsia"/>
                <w:highlight w:val="none"/>
              </w:rPr>
              <w:sym w:font="Wingdings 2" w:char="00A3"/>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F4B8FF"/>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F4B8FF"/>
              <w:rPr>
                <w:rFonts w:hint="eastAsia"/>
                <w:highlight w:val="none"/>
              </w:rPr>
            </w:pPr>
            <w:r>
              <w:rPr>
                <w:rFonts w:hint="eastAsia"/>
                <w:highlight w:val="none"/>
              </w:rPr>
              <w:t>确保与产品/服务接触的员工定期（近一年）进行了健康体检，并合格上岗。</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062"/>
              <w:gridCol w:w="2823"/>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695" w:type="dxa"/>
                </w:tcPr>
                <w:p>
                  <w:r>
                    <w:rPr>
                      <w:rFonts w:hint="eastAsia"/>
                    </w:rPr>
                    <w:t>岗位</w:t>
                  </w:r>
                </w:p>
              </w:tc>
              <w:tc>
                <w:tcPr>
                  <w:tcW w:w="1062" w:type="dxa"/>
                </w:tcPr>
                <w:p>
                  <w:r>
                    <w:rPr>
                      <w:rFonts w:hint="eastAsia"/>
                    </w:rPr>
                    <w:t>姓氏</w:t>
                  </w:r>
                </w:p>
              </w:tc>
              <w:tc>
                <w:tcPr>
                  <w:tcW w:w="2823"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r>
                    <w:rPr>
                      <w:rFonts w:hint="eastAsia"/>
                    </w:rPr>
                    <w:t>总经理</w:t>
                  </w:r>
                </w:p>
              </w:tc>
              <w:tc>
                <w:tcPr>
                  <w:tcW w:w="1062" w:type="dxa"/>
                </w:tcPr>
                <w:p>
                  <w:r>
                    <w:rPr>
                      <w:rFonts w:hint="eastAsia"/>
                    </w:rPr>
                    <w:t>聂勇</w:t>
                  </w:r>
                </w:p>
              </w:tc>
              <w:tc>
                <w:tcPr>
                  <w:tcW w:w="2823" w:type="dxa"/>
                </w:tcPr>
                <w:p>
                  <w:r>
                    <w:rPr>
                      <w:rFonts w:hint="eastAsia"/>
                    </w:rPr>
                    <w:t>苏32011501 12 1086646号</w:t>
                  </w:r>
                </w:p>
              </w:tc>
              <w:tc>
                <w:tcPr>
                  <w:tcW w:w="1810" w:type="dxa"/>
                </w:tcPr>
                <w:p>
                  <w:pPr>
                    <w:rPr>
                      <w:rFonts w:hint="default" w:eastAsia="宋体"/>
                      <w:lang w:val="en-US" w:eastAsia="zh-CN"/>
                    </w:rPr>
                  </w:pPr>
                  <w:r>
                    <w:rPr>
                      <w:rFonts w:hint="eastAsia"/>
                    </w:rPr>
                    <w:t>202</w:t>
                  </w:r>
                  <w:r>
                    <w:rPr>
                      <w:rFonts w:hint="eastAsia"/>
                      <w:lang w:val="en-US" w:eastAsia="zh-CN"/>
                    </w:rPr>
                    <w:t>2-11-16</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eastAsia" w:eastAsia="宋体"/>
                      <w:highlight w:val="none"/>
                      <w:lang w:val="en-US" w:eastAsia="zh-CN"/>
                    </w:rPr>
                  </w:pPr>
                  <w:r>
                    <w:rPr>
                      <w:rFonts w:hint="eastAsia"/>
                      <w:highlight w:val="none"/>
                    </w:rPr>
                    <w:t>市场部</w:t>
                  </w:r>
                  <w:r>
                    <w:rPr>
                      <w:rFonts w:hint="eastAsia"/>
                      <w:highlight w:val="none"/>
                      <w:lang w:val="en-US" w:eastAsia="zh-CN"/>
                    </w:rPr>
                    <w:t>经理</w:t>
                  </w:r>
                </w:p>
              </w:tc>
              <w:tc>
                <w:tcPr>
                  <w:tcW w:w="1062" w:type="dxa"/>
                </w:tcPr>
                <w:p>
                  <w:pPr>
                    <w:rPr>
                      <w:highlight w:val="none"/>
                    </w:rPr>
                  </w:pPr>
                  <w:r>
                    <w:rPr>
                      <w:rFonts w:hint="eastAsia"/>
                      <w:highlight w:val="none"/>
                    </w:rPr>
                    <w:t>孙德龙</w:t>
                  </w:r>
                </w:p>
              </w:tc>
              <w:tc>
                <w:tcPr>
                  <w:tcW w:w="2823" w:type="dxa"/>
                </w:tcPr>
                <w:p>
                  <w:pPr>
                    <w:rPr>
                      <w:highlight w:val="none"/>
                    </w:rPr>
                  </w:pPr>
                  <w:r>
                    <w:rPr>
                      <w:rFonts w:hint="eastAsia"/>
                      <w:highlight w:val="none"/>
                    </w:rPr>
                    <w:t>苏32011501121816671号</w:t>
                  </w:r>
                </w:p>
              </w:tc>
              <w:tc>
                <w:tcPr>
                  <w:tcW w:w="1810" w:type="dxa"/>
                </w:tcPr>
                <w:p>
                  <w:pPr>
                    <w:rPr>
                      <w:rFonts w:hint="default" w:eastAsia="宋体"/>
                      <w:highlight w:val="none"/>
                      <w:lang w:val="en-US" w:eastAsia="zh-CN"/>
                    </w:rPr>
                  </w:pPr>
                  <w:r>
                    <w:rPr>
                      <w:rFonts w:hint="eastAsia"/>
                      <w:highlight w:val="none"/>
                    </w:rPr>
                    <w:t>202</w:t>
                  </w:r>
                  <w:r>
                    <w:rPr>
                      <w:rFonts w:hint="eastAsia"/>
                      <w:highlight w:val="none"/>
                      <w:lang w:val="en-US" w:eastAsia="zh-CN"/>
                    </w:rPr>
                    <w:t>2-04-20</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r>
                    <w:rPr>
                      <w:rFonts w:hint="eastAsia"/>
                    </w:rPr>
                    <w:t>综合办</w:t>
                  </w:r>
                </w:p>
              </w:tc>
              <w:tc>
                <w:tcPr>
                  <w:tcW w:w="1062" w:type="dxa"/>
                </w:tcPr>
                <w:p>
                  <w:r>
                    <w:rPr>
                      <w:rFonts w:hint="eastAsia"/>
                    </w:rPr>
                    <w:t>戈敏</w:t>
                  </w:r>
                </w:p>
              </w:tc>
              <w:tc>
                <w:tcPr>
                  <w:tcW w:w="2823" w:type="dxa"/>
                </w:tcPr>
                <w:p>
                  <w:r>
                    <w:rPr>
                      <w:rFonts w:hint="eastAsia"/>
                    </w:rPr>
                    <w:t>苏32011501 121087587号</w:t>
                  </w:r>
                </w:p>
              </w:tc>
              <w:tc>
                <w:tcPr>
                  <w:tcW w:w="1810" w:type="dxa"/>
                </w:tcPr>
                <w:p>
                  <w:pPr>
                    <w:rPr>
                      <w:rFonts w:hint="default" w:eastAsia="宋体"/>
                      <w:lang w:val="en-US" w:eastAsia="zh-CN"/>
                    </w:rPr>
                  </w:pPr>
                  <w:r>
                    <w:rPr>
                      <w:rFonts w:hint="eastAsia"/>
                    </w:rPr>
                    <w:t>202</w:t>
                  </w:r>
                  <w:r>
                    <w:rPr>
                      <w:rFonts w:hint="eastAsia"/>
                      <w:lang w:val="en-US" w:eastAsia="zh-CN"/>
                    </w:rPr>
                    <w:t>2-11-18</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r>
                    <w:rPr>
                      <w:rFonts w:hint="eastAsia"/>
                    </w:rPr>
                    <w:t>市场部（配送员）</w:t>
                  </w:r>
                </w:p>
              </w:tc>
              <w:tc>
                <w:tcPr>
                  <w:tcW w:w="1062" w:type="dxa"/>
                </w:tcPr>
                <w:p>
                  <w:pPr>
                    <w:rPr>
                      <w:rFonts w:hint="default" w:eastAsia="宋体"/>
                      <w:lang w:val="en-US" w:eastAsia="zh-CN"/>
                    </w:rPr>
                  </w:pPr>
                  <w:r>
                    <w:rPr>
                      <w:rFonts w:hint="eastAsia"/>
                      <w:lang w:val="en-US" w:eastAsia="zh-CN"/>
                    </w:rPr>
                    <w:t>聂礼勇</w:t>
                  </w:r>
                </w:p>
              </w:tc>
              <w:tc>
                <w:tcPr>
                  <w:tcW w:w="2823" w:type="dxa"/>
                </w:tcPr>
                <w:p>
                  <w:r>
                    <w:rPr>
                      <w:rFonts w:hint="eastAsia"/>
                    </w:rPr>
                    <w:t>苏32011501121046987号</w:t>
                  </w:r>
                </w:p>
              </w:tc>
              <w:tc>
                <w:tcPr>
                  <w:tcW w:w="1810" w:type="dxa"/>
                </w:tcPr>
                <w:p>
                  <w:pPr>
                    <w:rPr>
                      <w:rFonts w:hint="default" w:eastAsia="宋体"/>
                      <w:lang w:val="en-US" w:eastAsia="zh-CN"/>
                    </w:rPr>
                  </w:pPr>
                  <w:r>
                    <w:rPr>
                      <w:rFonts w:hint="eastAsia"/>
                    </w:rPr>
                    <w:t>202</w:t>
                  </w:r>
                  <w:r>
                    <w:rPr>
                      <w:rFonts w:hint="eastAsia"/>
                      <w:lang w:val="en-US" w:eastAsia="zh-CN"/>
                    </w:rPr>
                    <w:t>2-06-24</w:t>
                  </w:r>
                </w:p>
              </w:tc>
              <w:tc>
                <w:tcPr>
                  <w:tcW w:w="1240" w:type="dxa"/>
                </w:tcPr>
                <w:p>
                  <w:r>
                    <w:rPr>
                      <w:rFonts w:hint="eastAsia"/>
                    </w:rPr>
                    <w:t>有效</w:t>
                  </w:r>
                </w:p>
              </w:tc>
            </w:tr>
          </w:tbl>
          <w:p>
            <w:pPr>
              <w:shd w:val="clear" w:color="auto" w:fill="F4B8FF"/>
              <w:rPr>
                <w:highlight w:val="yellow"/>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yellow"/>
              </w:rPr>
            </w:pPr>
            <w:r>
              <w:rPr>
                <w:rFonts w:hint="eastAsia"/>
                <w:highlight w:val="none"/>
              </w:rPr>
              <w:t>☑管理者代表 (食品安全小组组长)、☑</w:t>
            </w:r>
            <w:r>
              <w:rPr>
                <w:rFonts w:hint="eastAsia"/>
                <w:highlight w:val="none"/>
                <w:lang w:val="en-US" w:eastAsia="zh-CN"/>
              </w:rPr>
              <w:t>市场部</w:t>
            </w:r>
            <w:r>
              <w:rPr>
                <w:rFonts w:hint="eastAsia"/>
                <w:highlight w:val="none"/>
              </w:rPr>
              <w:t>人员、☑</w:t>
            </w:r>
            <w:r>
              <w:rPr>
                <w:rFonts w:hint="eastAsia"/>
                <w:highlight w:val="none"/>
                <w:lang w:val="en-US" w:eastAsia="zh-CN"/>
              </w:rPr>
              <w:t>综合办</w:t>
            </w:r>
            <w:r>
              <w:rPr>
                <w:rFonts w:hint="eastAsia"/>
                <w:highlight w:val="none"/>
              </w:rPr>
              <w:t>人员、</w:t>
            </w:r>
            <w:r>
              <w:rPr>
                <w:rFonts w:hint="eastAsia"/>
                <w:highlight w:val="none"/>
                <w:lang w:eastAsia="zh-CN"/>
              </w:rPr>
              <w:sym w:font="Wingdings 2" w:char="0052"/>
            </w:r>
            <w:r>
              <w:rPr>
                <w:rFonts w:hint="eastAsia"/>
                <w:highlight w:val="none"/>
                <w:lang w:val="en-US" w:eastAsia="zh-CN"/>
              </w:rPr>
              <w:t>品控部</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default" w:eastAsia="宋体"/>
                <w:lang w:val="en-US" w:eastAsia="zh-CN"/>
              </w:rPr>
            </w:pPr>
            <w:r>
              <w:rPr>
                <w:rFonts w:hint="eastAsia"/>
              </w:rPr>
              <w:t xml:space="preserve">通过方式：☑会议传达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color w:val="000000"/>
                <w:szCs w:val="21"/>
                <w:u w:val="single"/>
              </w:rPr>
            </w:pPr>
            <w:r>
              <w:rPr>
                <w:rFonts w:hint="eastAsia"/>
                <w:highlight w:val="none"/>
              </w:rPr>
              <w:t>组织的《前提方案》时参照法规：</w:t>
            </w:r>
            <w:r>
              <w:rPr>
                <w:rFonts w:hint="eastAsia"/>
                <w:color w:val="000000"/>
                <w:szCs w:val="21"/>
                <w:u w:val="single"/>
              </w:rPr>
              <w:t>GB 31621-2014 《食品安全国家标准 食品经营过程卫生规范》</w:t>
            </w:r>
          </w:p>
          <w:p>
            <w:pPr>
              <w:shd w:val="clear" w:color="auto" w:fill="F4B8FF"/>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spacing w:line="360" w:lineRule="auto"/>
              <w:rPr>
                <w:rFonts w:hint="default" w:eastAsia="宋体"/>
                <w:lang w:val="en-US" w:eastAsia="zh-CN"/>
              </w:rPr>
            </w:pPr>
            <w:r>
              <w:rPr>
                <w:rFonts w:hint="eastAsia"/>
              </w:rPr>
              <w:t>组织的产品保质期为</w:t>
            </w:r>
            <w:r>
              <w:rPr>
                <w:rFonts w:hint="eastAsia"/>
                <w:strike/>
                <w:dstrike w:val="0"/>
                <w:lang w:eastAsia="zh-CN"/>
              </w:rPr>
              <w:t>——</w:t>
            </w:r>
            <w:r>
              <w:rPr>
                <w:rFonts w:hint="eastAsia"/>
                <w:strike/>
                <w:dstrike w:val="0"/>
                <w:u w:val="single"/>
                <w:lang w:val="en-US" w:eastAsia="zh-CN"/>
              </w:rPr>
              <w:t>小时； XXX</w:t>
            </w:r>
            <w:r>
              <w:rPr>
                <w:rFonts w:hint="eastAsia"/>
                <w:strike/>
                <w:dstrike w:val="0"/>
              </w:rPr>
              <w:t>个月</w:t>
            </w:r>
            <w:r>
              <w:rPr>
                <w:rFonts w:hint="eastAsia"/>
              </w:rPr>
              <w:t>；</w:t>
            </w:r>
            <w:r>
              <w:rPr>
                <w:rFonts w:hint="eastAsia"/>
                <w:lang w:val="en-US" w:eastAsia="zh-CN"/>
              </w:rPr>
              <w:t>按照产品保质期进行控制；</w:t>
            </w:r>
          </w:p>
          <w:p>
            <w:pPr>
              <w:shd w:val="clear" w:color="auto" w:fill="F4B8FF"/>
              <w:spacing w:line="360" w:lineRule="auto"/>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pacing w:line="360" w:lineRule="auto"/>
              <w:rPr>
                <w:rFonts w:hint="default" w:eastAsia="宋体"/>
                <w:u w:val="single"/>
                <w:lang w:val="en-US" w:eastAsia="zh-CN"/>
              </w:rPr>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lang w:val="en-US" w:eastAsia="zh-CN"/>
              </w:rPr>
              <w:t xml:space="preserve">15 </w:t>
            </w:r>
            <w:r>
              <w:rPr>
                <w:rFonts w:hint="eastAsia"/>
              </w:rPr>
              <w:t>日，进行了</w:t>
            </w:r>
            <w:r>
              <w:t>可追溯性体系的有效性</w:t>
            </w:r>
            <w:r>
              <w:rPr>
                <w:rFonts w:hint="eastAsia"/>
              </w:rPr>
              <w:t>的演练</w:t>
            </w:r>
            <w:r>
              <w:t>。</w:t>
            </w:r>
            <w:r>
              <w:rPr>
                <w:rFonts w:hint="eastAsia"/>
                <w:u w:val="single"/>
                <w:lang w:val="en-US" w:eastAsia="zh-CN"/>
              </w:rPr>
              <w:t>未提供追溯的原始记录，因为明确召回的时间以及召回等级，已现场沟通。</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sym w:font="Wingdings" w:char="00A8"/>
            </w:r>
            <w:r>
              <w:t xml:space="preserve">自然灾害    </w:t>
            </w:r>
            <w:r>
              <w:rPr/>
              <w:sym w:font="Wingdings" w:char="00A8"/>
            </w:r>
            <w:r>
              <w:t xml:space="preserve">环境事故   </w:t>
            </w:r>
            <w:r>
              <w:rPr/>
              <w:sym w:font="Wingdings" w:char="00FE"/>
            </w:r>
            <w:r>
              <w:t xml:space="preserve">生物恐怖主义    </w:t>
            </w:r>
            <w:r>
              <w:rPr/>
              <w:sym w:font="Wingdings" w:char="00FE"/>
            </w:r>
            <w:r>
              <w:t xml:space="preserve">工作场所事故    </w:t>
            </w:r>
            <w:r>
              <w:rPr/>
              <w:sym w:font="Wingdings" w:char="00A8"/>
            </w:r>
            <w:r>
              <w:t>食品中毒</w:t>
            </w:r>
          </w:p>
          <w:p>
            <w:r>
              <w:rPr/>
              <w:sym w:font="Wingdings 2" w:char="F052"/>
            </w:r>
            <w:r>
              <w:t xml:space="preserve">突发公共卫生事件   </w:t>
            </w:r>
            <w:r>
              <w:rPr/>
              <w:sym w:font="Wingdings" w:char="00A8"/>
            </w:r>
            <w:r>
              <w:t xml:space="preserve">水的中断    </w:t>
            </w:r>
            <w:r>
              <w:rPr/>
              <w:sym w:font="Wingdings 2" w:char="F052"/>
            </w:r>
            <w:r>
              <w:t xml:space="preserve">电的中断     </w:t>
            </w:r>
            <w:r>
              <w:rPr/>
              <w:sym w:font="Wingdings 2" w:char="F052"/>
            </w:r>
            <w:r>
              <w:rPr>
                <w:rFonts w:hint="eastAsia"/>
              </w:rPr>
              <w:t xml:space="preserve">发生火灾 </w:t>
            </w:r>
            <w:r>
              <w:t xml:space="preserve"> </w:t>
            </w:r>
            <w:r>
              <w:rPr/>
              <w:sym w:font="Wingdings 2" w:char="F052"/>
            </w:r>
            <w:r>
              <w:t xml:space="preserve">制冷供应服务中断   </w:t>
            </w:r>
            <w:r>
              <w:rPr/>
              <w:sym w:font="Wingdings" w:char="00A8"/>
            </w:r>
            <w:r>
              <w:t>其他—食品供应链的突变</w:t>
            </w:r>
          </w:p>
          <w:p>
            <w:pPr>
              <w:rPr>
                <w:rFonts w:hint="eastAsia"/>
              </w:rPr>
            </w:pP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A8"/>
            </w:r>
            <w:r>
              <w:rPr>
                <w:rFonts w:hint="eastAsia"/>
              </w:rPr>
              <w:t>已发生：</w:t>
            </w:r>
            <w:r>
              <w:rPr>
                <w:rFonts w:hint="eastAsia"/>
                <w:u w:val="single"/>
              </w:rPr>
              <w:t xml:space="preserve">                                </w:t>
            </w:r>
            <w:r>
              <w:rPr>
                <w:rFonts w:hint="eastAsia"/>
              </w:rPr>
              <w:t>。</w:t>
            </w:r>
          </w:p>
          <w:p>
            <w:pPr>
              <w:rPr>
                <w:rFonts w:hint="eastAsia"/>
              </w:rPr>
            </w:pP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15 </w:t>
            </w:r>
            <w:r>
              <w:rPr>
                <w:rFonts w:hint="eastAsia"/>
              </w:rPr>
              <w:t>日进行了</w:t>
            </w:r>
            <w:r>
              <w:rPr>
                <w:rFonts w:hint="eastAsia"/>
                <w:u w:val="single"/>
              </w:rPr>
              <w:t xml:space="preserve">  车辆故障预案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6"/>
              </w:numPr>
              <w:rPr>
                <w:rFonts w:hint="default"/>
                <w:lang w:val="en-US" w:eastAsia="zh-CN"/>
              </w:rPr>
            </w:pPr>
            <w:r>
              <w:rPr>
                <w:rFonts w:hint="eastAsia"/>
              </w:rPr>
              <w:t>粮油类</w:t>
            </w:r>
          </w:p>
          <w:p>
            <w:pPr>
              <w:numPr>
                <w:ilvl w:val="0"/>
                <w:numId w:val="6"/>
              </w:numPr>
              <w:rPr>
                <w:rFonts w:hint="default"/>
                <w:lang w:val="en-US" w:eastAsia="zh-CN"/>
              </w:rPr>
            </w:pPr>
            <w:r>
              <w:rPr>
                <w:rFonts w:hint="eastAsia"/>
              </w:rPr>
              <w:t>调味料</w:t>
            </w:r>
          </w:p>
          <w:p>
            <w:pPr>
              <w:numPr>
                <w:ilvl w:val="0"/>
                <w:numId w:val="6"/>
              </w:numPr>
              <w:rPr>
                <w:rFonts w:hint="default"/>
                <w:lang w:val="en-US" w:eastAsia="zh-CN"/>
              </w:rPr>
            </w:pPr>
            <w:r>
              <w:rPr>
                <w:rFonts w:hint="eastAsia"/>
              </w:rPr>
              <w:t>非发酵豆制品</w:t>
            </w:r>
          </w:p>
          <w:p>
            <w:pPr>
              <w:numPr>
                <w:ilvl w:val="0"/>
                <w:numId w:val="6"/>
              </w:numPr>
              <w:rPr>
                <w:rFonts w:hint="default"/>
                <w:lang w:val="en-US" w:eastAsia="zh-CN"/>
              </w:rPr>
            </w:pPr>
            <w:r>
              <w:rPr>
                <w:rFonts w:hint="eastAsia"/>
              </w:rPr>
              <w:t>水产（冻品）</w:t>
            </w:r>
          </w:p>
          <w:p>
            <w:pPr>
              <w:numPr>
                <w:ilvl w:val="0"/>
                <w:numId w:val="6"/>
              </w:numPr>
              <w:rPr>
                <w:rFonts w:hint="default"/>
                <w:lang w:val="en-US" w:eastAsia="zh-CN"/>
              </w:rPr>
            </w:pPr>
            <w:r>
              <w:rPr>
                <w:rFonts w:hint="eastAsia"/>
              </w:rPr>
              <w:t>畜肉（冻品）</w:t>
            </w:r>
          </w:p>
          <w:p>
            <w:pPr>
              <w:numPr>
                <w:ilvl w:val="0"/>
                <w:numId w:val="6"/>
              </w:numPr>
              <w:rPr>
                <w:rFonts w:hint="default"/>
                <w:lang w:val="en-US" w:eastAsia="zh-CN"/>
              </w:rPr>
            </w:pPr>
            <w:r>
              <w:rPr>
                <w:rFonts w:hint="eastAsia"/>
                <w:lang w:val="en-US" w:eastAsia="zh-CN"/>
              </w:rPr>
              <w:t>酸奶等</w:t>
            </w:r>
          </w:p>
          <w:p>
            <w:pPr>
              <w:numPr>
                <w:ilvl w:val="0"/>
                <w:numId w:val="6"/>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6"/>
              </w:numPr>
              <w:rPr>
                <w:rFonts w:hint="default"/>
                <w:lang w:val="en-US" w:eastAsia="zh-CN"/>
              </w:rPr>
            </w:pPr>
            <w:r>
              <w:rPr>
                <w:rFonts w:hint="eastAsia"/>
              </w:rPr>
              <w:t>粮油类</w:t>
            </w:r>
          </w:p>
          <w:p>
            <w:pPr>
              <w:numPr>
                <w:ilvl w:val="0"/>
                <w:numId w:val="6"/>
              </w:numPr>
              <w:rPr>
                <w:rFonts w:hint="default"/>
                <w:lang w:val="en-US" w:eastAsia="zh-CN"/>
              </w:rPr>
            </w:pPr>
            <w:r>
              <w:rPr>
                <w:rFonts w:hint="eastAsia"/>
              </w:rPr>
              <w:t>调味料</w:t>
            </w:r>
          </w:p>
          <w:p>
            <w:pPr>
              <w:numPr>
                <w:ilvl w:val="0"/>
                <w:numId w:val="6"/>
              </w:numPr>
              <w:rPr>
                <w:rFonts w:hint="default"/>
                <w:lang w:val="en-US" w:eastAsia="zh-CN"/>
              </w:rPr>
            </w:pPr>
            <w:r>
              <w:rPr>
                <w:rFonts w:hint="eastAsia"/>
              </w:rPr>
              <w:t>非发酵豆制品</w:t>
            </w:r>
          </w:p>
          <w:p>
            <w:pPr>
              <w:numPr>
                <w:ilvl w:val="0"/>
                <w:numId w:val="6"/>
              </w:numPr>
              <w:rPr>
                <w:rFonts w:hint="default"/>
                <w:lang w:val="en-US" w:eastAsia="zh-CN"/>
              </w:rPr>
            </w:pPr>
            <w:r>
              <w:rPr>
                <w:rFonts w:hint="eastAsia"/>
              </w:rPr>
              <w:t>水产（冻品）</w:t>
            </w:r>
          </w:p>
          <w:p>
            <w:pPr>
              <w:numPr>
                <w:ilvl w:val="0"/>
                <w:numId w:val="6"/>
              </w:numPr>
              <w:rPr>
                <w:rFonts w:hint="default"/>
                <w:lang w:val="en-US" w:eastAsia="zh-CN"/>
              </w:rPr>
            </w:pPr>
            <w:r>
              <w:rPr>
                <w:rFonts w:hint="eastAsia"/>
              </w:rPr>
              <w:t>畜肉（冻品）</w:t>
            </w:r>
          </w:p>
          <w:p>
            <w:pPr>
              <w:numPr>
                <w:ilvl w:val="0"/>
                <w:numId w:val="6"/>
              </w:numPr>
              <w:rPr>
                <w:rFonts w:hint="default"/>
                <w:lang w:val="en-US" w:eastAsia="zh-CN"/>
              </w:rPr>
            </w:pPr>
            <w:r>
              <w:rPr>
                <w:rFonts w:hint="eastAsia"/>
                <w:lang w:val="en-US" w:eastAsia="zh-CN"/>
              </w:rPr>
              <w:t>酸奶等</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学校、部队、机关食堂等供</w:t>
            </w:r>
            <w:r>
              <w:rPr>
                <w:rFonts w:hint="eastAsia"/>
                <w:u w:val="single"/>
                <w:lang w:val="en-US" w:eastAsia="zh-CN"/>
              </w:rPr>
              <w:t>原料食材</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FE"/>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lang w:val="en-US" w:eastAsia="zh-CN"/>
              </w:rPr>
              <w:t xml:space="preserve"> </w:t>
            </w:r>
            <w:r>
              <w:rPr>
                <w:rFonts w:hint="eastAsia"/>
              </w:rPr>
              <w:sym w:font="Wingdings" w:char="00A8"/>
            </w:r>
            <w:r>
              <w:rPr>
                <w:rFonts w:hint="eastAsia"/>
              </w:rPr>
              <w:t xml:space="preserve">易过敏人群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7"/>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成品、中间产品和副产品放行点及废弃物的排放点</w:t>
            </w:r>
          </w:p>
          <w:p>
            <w:pPr>
              <w:widowControl/>
              <w:numPr>
                <w:ilvl w:val="0"/>
                <w:numId w:val="7"/>
              </w:numPr>
              <w:autoSpaceDE w:val="0"/>
              <w:autoSpaceDN w:val="0"/>
              <w:adjustRightInd w:val="0"/>
              <w:rPr>
                <w:b/>
              </w:rPr>
            </w:pPr>
            <w:r>
              <w:rPr>
                <w:rFonts w:hint="eastAsia"/>
              </w:rPr>
              <w:t>工厂位置图</w:t>
            </w:r>
          </w:p>
          <w:p>
            <w:pPr>
              <w:widowControl/>
              <w:numPr>
                <w:ilvl w:val="0"/>
                <w:numId w:val="7"/>
              </w:numPr>
              <w:autoSpaceDE w:val="0"/>
              <w:autoSpaceDN w:val="0"/>
              <w:adjustRightInd w:val="0"/>
            </w:pPr>
            <w:r>
              <w:rPr>
                <w:rFonts w:hint="eastAsia"/>
              </w:rPr>
              <w:t>厂区平面图</w:t>
            </w:r>
          </w:p>
          <w:p>
            <w:pPr>
              <w:widowControl/>
              <w:numPr>
                <w:ilvl w:val="0"/>
                <w:numId w:val="7"/>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7"/>
              </w:numPr>
              <w:autoSpaceDE w:val="0"/>
              <w:autoSpaceDN w:val="0"/>
              <w:adjustRightInd w:val="0"/>
              <w:rPr>
                <w:b/>
              </w:rPr>
            </w:pPr>
            <w:r>
              <w:rPr>
                <w:rFonts w:hint="eastAsia"/>
              </w:rPr>
              <w:t>人流、物流、气流图</w:t>
            </w:r>
          </w:p>
          <w:p>
            <w:pPr>
              <w:widowControl/>
              <w:numPr>
                <w:ilvl w:val="0"/>
                <w:numId w:val="7"/>
              </w:numPr>
              <w:autoSpaceDE w:val="0"/>
              <w:autoSpaceDN w:val="0"/>
              <w:adjustRightInd w:val="0"/>
              <w:rPr>
                <w:b/>
              </w:rPr>
            </w:pPr>
            <w:r>
              <w:rPr>
                <w:rFonts w:hint="eastAsia"/>
              </w:rPr>
              <w:t>供排水网络图</w:t>
            </w:r>
          </w:p>
          <w:p>
            <w:pPr>
              <w:widowControl/>
              <w:numPr>
                <w:ilvl w:val="0"/>
                <w:numId w:val="7"/>
              </w:numPr>
              <w:autoSpaceDE w:val="0"/>
              <w:autoSpaceDN w:val="0"/>
              <w:adjustRightInd w:val="0"/>
              <w:rPr>
                <w:b/>
              </w:rPr>
            </w:pPr>
            <w:r>
              <w:rPr>
                <w:rFonts w:hint="eastAsia"/>
              </w:rPr>
              <w:t>防虫害分布图</w:t>
            </w:r>
          </w:p>
          <w:p>
            <w:pPr>
              <w:widowControl/>
              <w:numPr>
                <w:ilvl w:val="0"/>
                <w:numId w:val="7"/>
              </w:numPr>
              <w:autoSpaceDE w:val="0"/>
              <w:autoSpaceDN w:val="0"/>
              <w:adjustRightInd w:val="0"/>
              <w:rPr>
                <w:bCs/>
              </w:rPr>
            </w:pPr>
            <w:r>
              <w:rPr>
                <w:rFonts w:hint="eastAsia"/>
                <w:bCs/>
              </w:rPr>
              <w:t>其他</w:t>
            </w:r>
          </w:p>
          <w:p>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szCs w:val="21"/>
                <w:u w:val="single"/>
              </w:rPr>
              <w:t xml:space="preserve">  202</w:t>
            </w:r>
            <w:r>
              <w:rPr>
                <w:rFonts w:hint="eastAsia"/>
                <w:szCs w:val="21"/>
                <w:u w:val="single"/>
                <w:lang w:val="en-US" w:eastAsia="zh-CN"/>
              </w:rPr>
              <w:t>1</w:t>
            </w:r>
            <w:r>
              <w:rPr>
                <w:szCs w:val="21"/>
                <w:u w:val="single"/>
              </w:rPr>
              <w:t xml:space="preserve">  </w:t>
            </w:r>
            <w:r>
              <w:rPr>
                <w:szCs w:val="21"/>
              </w:rPr>
              <w:t>年</w:t>
            </w:r>
            <w:r>
              <w:rPr>
                <w:szCs w:val="21"/>
                <w:u w:val="single"/>
              </w:rPr>
              <w:t xml:space="preserve"> 11</w:t>
            </w:r>
            <w:r>
              <w:rPr>
                <w:szCs w:val="21"/>
              </w:rPr>
              <w:t>月</w:t>
            </w:r>
            <w:r>
              <w:rPr>
                <w:szCs w:val="21"/>
                <w:u w:val="single"/>
              </w:rPr>
              <w:t xml:space="preserve">  15  </w:t>
            </w:r>
            <w:r>
              <w:rPr>
                <w:szCs w:val="21"/>
              </w:rPr>
              <w:t>日</w:t>
            </w:r>
            <w:r>
              <w:t>现场确认流程图的准确性，在</w:t>
            </w:r>
            <w:r>
              <w:rPr>
                <w:rFonts w:hint="eastAsia"/>
              </w:rPr>
              <w:t>需要</w:t>
            </w:r>
            <w:r>
              <w:t>的情况下更新流程图，并保留作为文件的信息。</w:t>
            </w:r>
            <w:r>
              <w:rPr>
                <w:rFonts w:hint="eastAsia"/>
                <w:lang w:val="en-US" w:eastAsia="zh-CN"/>
              </w:rPr>
              <w:t>经沟通了解审核周期内未发生变化。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rFonts w:hint="eastAsia"/>
                <w:lang w:val="en-GB" w:eastAsia="zh-CN"/>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 xml:space="preserve">11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r>
              <w:rPr>
                <w:rFonts w:hint="eastAsia"/>
                <w:lang w:val="en-GB" w:eastAsia="zh-CN"/>
              </w:rPr>
              <w:t>（</w:t>
            </w:r>
            <w:r>
              <w:rPr>
                <w:rFonts w:hint="eastAsia"/>
                <w:lang w:val="en-US" w:eastAsia="zh-CN"/>
              </w:rPr>
              <w:t>经沟通了解审核周期内未发生变化</w:t>
            </w:r>
            <w:r>
              <w:rPr>
                <w:rFonts w:hint="eastAsia"/>
                <w:lang w:val="en-GB" w:eastAsia="zh-CN"/>
              </w:rPr>
              <w:t>）</w:t>
            </w:r>
          </w:p>
          <w:p>
            <w:pPr>
              <w:pStyle w:val="6"/>
              <w:rPr>
                <w:lang w:val="en-GB"/>
              </w:rPr>
            </w:pP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sz w:val="18"/>
                      <w:szCs w:val="18"/>
                    </w:rPr>
                    <w:t>粮油类</w:t>
                  </w:r>
                </w:p>
              </w:tc>
              <w:tc>
                <w:tcPr>
                  <w:tcW w:w="2873" w:type="dxa"/>
                  <w:shd w:val="clear" w:color="auto" w:fill="auto"/>
                  <w:vAlign w:val="center"/>
                </w:tcPr>
                <w:p>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rPr>
                  </w:pPr>
                  <w:r>
                    <w:rPr>
                      <w:sz w:val="18"/>
                      <w:szCs w:val="18"/>
                    </w:rPr>
                    <w:sym w:font="Wingdings" w:char="00FE"/>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sz w:val="18"/>
                      <w:szCs w:val="18"/>
                      <w:lang w:val="en-GB"/>
                    </w:rPr>
                    <w:t>豆制品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bCs/>
                      <w:sz w:val="18"/>
                      <w:szCs w:val="18"/>
                      <w:lang w:val="en-GB"/>
                    </w:rPr>
                    <w:t>鲜、冻畜肉</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jc w:val="center"/>
                    <w:rPr>
                      <w:bCs/>
                      <w:lang w:val="en-GB"/>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sz w:val="18"/>
                      <w:szCs w:val="18"/>
                      <w:lang w:val="en-GB"/>
                    </w:rPr>
                    <w:t>鲜、冻禽产品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sz w:val="18"/>
                      <w:szCs w:val="18"/>
                      <w:lang w:val="en-GB"/>
                    </w:rPr>
                    <w:t>水产品</w:t>
                  </w:r>
                </w:p>
              </w:tc>
              <w:tc>
                <w:tcPr>
                  <w:tcW w:w="2873" w:type="dxa"/>
                  <w:shd w:val="clear" w:color="auto" w:fill="auto"/>
                  <w:vAlign w:val="center"/>
                </w:tcPr>
                <w:p>
                  <w:pPr>
                    <w:jc w:val="center"/>
                    <w:rPr>
                      <w:bCs/>
                      <w:sz w:val="18"/>
                      <w:szCs w:val="18"/>
                      <w:lang w:val="en-GB"/>
                    </w:rPr>
                  </w:pPr>
                  <w:r>
                    <w:rPr>
                      <w:bCs/>
                      <w:sz w:val="18"/>
                      <w:szCs w:val="18"/>
                      <w:lang w:val="en-GB"/>
                    </w:rPr>
                    <w:sym w:font="Wingdings" w:char="00FE"/>
                  </w:r>
                  <w:r>
                    <w:rPr>
                      <w:bCs/>
                      <w:sz w:val="18"/>
                      <w:szCs w:val="18"/>
                      <w:lang w:val="en-GB"/>
                    </w:rPr>
                    <w:t xml:space="preserve">有害微生物 </w:t>
                  </w:r>
                  <w:r>
                    <w:rPr>
                      <w:bCs/>
                      <w:sz w:val="18"/>
                      <w:szCs w:val="18"/>
                      <w:lang w:val="en-GB"/>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pPr>
                    <w:pStyle w:val="2"/>
                    <w:tabs>
                      <w:tab w:val="left" w:pos="540"/>
                    </w:tabs>
                    <w:ind w:left="-6" w:leftChars="-3" w:firstLine="542"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挥发性盐基氮</w:t>
                  </w:r>
                  <w:r>
                    <w:rPr>
                      <w:bCs/>
                      <w:sz w:val="18"/>
                      <w:szCs w:val="18"/>
                      <w:lang w:val="en-GB"/>
                    </w:rPr>
                    <w:sym w:font="Wingdings" w:char="00FE"/>
                  </w:r>
                  <w:r>
                    <w:rPr>
                      <w:rFonts w:hint="eastAsia" w:ascii="Times New Roman" w:hAnsi="Times New Roman"/>
                      <w:bCs/>
                      <w:sz w:val="18"/>
                      <w:szCs w:val="18"/>
                      <w:lang w:val="en-GB"/>
                    </w:rPr>
                    <w:t>组胺</w:t>
                  </w:r>
                </w:p>
                <w:p>
                  <w:pPr>
                    <w:pStyle w:val="2"/>
                    <w:tabs>
                      <w:tab w:val="left" w:pos="540"/>
                    </w:tabs>
                    <w:ind w:firstLine="360"/>
                    <w:rPr>
                      <w:lang w:val="en-GB"/>
                    </w:rPr>
                  </w:pPr>
                  <w:r>
                    <w:rPr>
                      <w:bCs/>
                      <w:sz w:val="18"/>
                      <w:szCs w:val="18"/>
                      <w:lang w:val="en-GB"/>
                    </w:rPr>
                    <w:sym w:font="Wingdings" w:char="00FE"/>
                  </w:r>
                  <w:r>
                    <w:rPr>
                      <w:rFonts w:hint="eastAsia" w:ascii="Times New Roman" w:hAnsi="Times New Roman"/>
                      <w:bCs/>
                      <w:sz w:val="18"/>
                      <w:szCs w:val="18"/>
                      <w:lang w:val="en-GB"/>
                    </w:rPr>
                    <w:t>多氯联苯</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lang w:val="en-GB"/>
                    </w:rPr>
                  </w:pPr>
                  <w:r>
                    <w:rPr>
                      <w:bCs/>
                      <w:sz w:val="18"/>
                      <w:szCs w:val="18"/>
                    </w:rPr>
                    <w:t>调味品（食盐、酱油、味精、老抽、醋）</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rPr>
                  </w:pPr>
                  <w:r>
                    <w:rPr>
                      <w:rFonts w:hint="eastAsia"/>
                      <w:bCs/>
                      <w:sz w:val="18"/>
                      <w:szCs w:val="18"/>
                      <w:lang w:val="en-US" w:eastAsia="zh-CN"/>
                    </w:rPr>
                    <w:t>酸奶、牛奶</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p>
                  <w:pPr>
                    <w:jc w:val="center"/>
                    <w:rPr>
                      <w:sz w:val="18"/>
                      <w:szCs w:val="18"/>
                    </w:rPr>
                  </w:pPr>
                  <w:r>
                    <w:rPr>
                      <w:sz w:val="18"/>
                      <w:szCs w:val="18"/>
                    </w:rPr>
                    <w:sym w:font="Wingdings" w:char="00FE"/>
                  </w:r>
                  <w:r>
                    <w:rPr>
                      <w:rFonts w:hint="eastAsia"/>
                      <w:sz w:val="18"/>
                      <w:szCs w:val="18"/>
                      <w:lang w:val="en-US" w:eastAsia="zh-CN"/>
                    </w:rPr>
                    <w:t>三聚氰胺</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lang w:val="en-GB"/>
                    </w:rPr>
                  </w:pPr>
                  <w:r>
                    <w:rPr>
                      <w:bCs/>
                      <w:sz w:val="18"/>
                      <w:szCs w:val="18"/>
                    </w:rPr>
                    <w:t>塑料袋</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sz w:val="18"/>
                      <w:szCs w:val="18"/>
                    </w:rPr>
                  </w:pPr>
                  <w:r>
                    <w:rPr>
                      <w:bCs/>
                      <w:sz w:val="18"/>
                      <w:szCs w:val="18"/>
                    </w:rPr>
                    <w:sym w:font="Wingdings" w:char="00FE"/>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pPr>
                  <w:r>
                    <w:rPr>
                      <w:bCs/>
                    </w:rPr>
                    <w:sym w:font="Wingdings" w:char="00A8"/>
                  </w:r>
                  <w:r>
                    <w:rPr>
                      <w:bCs/>
                    </w:rPr>
                    <w:t>OPRP &amp;CCPs</w:t>
                  </w:r>
                </w:p>
              </w:tc>
            </w:tr>
          </w:tbl>
          <w:p>
            <w:pPr>
              <w:pStyle w:val="2"/>
              <w:ind w:left="0" w:leftChars="0" w:firstLine="0" w:firstLineChars="0"/>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粮油类</w:t>
                  </w:r>
                </w:p>
              </w:tc>
              <w:tc>
                <w:tcPr>
                  <w:tcW w:w="3136" w:type="dxa"/>
                  <w:shd w:val="clear" w:color="auto" w:fill="auto"/>
                  <w:vAlign w:val="center"/>
                </w:tcPr>
                <w:p>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GB"/>
                    </w:rPr>
                    <w:t>豆制品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540" w:firstLineChars="300"/>
                    <w:rPr>
                      <w:sz w:val="18"/>
                      <w:szCs w:val="18"/>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2"/>
                    <w:tabs>
                      <w:tab w:val="left" w:pos="540"/>
                    </w:tabs>
                    <w:ind w:left="0" w:firstLine="0" w:firstLineChars="0"/>
                    <w:rPr>
                      <w:sz w:val="18"/>
                      <w:szCs w:val="18"/>
                    </w:rPr>
                  </w:pPr>
                  <w:r>
                    <w:rPr>
                      <w:rFonts w:hint="eastAsia" w:ascii="Times New Roman" w:hAnsi="Times New Roman"/>
                      <w:bCs/>
                      <w:sz w:val="18"/>
                      <w:szCs w:val="18"/>
                    </w:rPr>
                    <w:t>（动物检疫证明、肉品质合格证）</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（动物检疫证明）</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lang w:val="en-GB"/>
                    </w:rPr>
                    <w:sym w:font="Wingdings" w:char="00FE"/>
                  </w:r>
                  <w:r>
                    <w:rPr>
                      <w:bCs/>
                      <w:sz w:val="18"/>
                      <w:szCs w:val="18"/>
                      <w:lang w:val="en-GB"/>
                    </w:rPr>
                    <w:t xml:space="preserve">有害微生物 </w:t>
                  </w:r>
                  <w:r>
                    <w:rPr>
                      <w:bCs/>
                      <w:sz w:val="18"/>
                      <w:szCs w:val="18"/>
                      <w:lang w:val="en-GB"/>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pPr>
                    <w:pStyle w:val="2"/>
                    <w:tabs>
                      <w:tab w:val="left" w:pos="540"/>
                    </w:tabs>
                    <w:ind w:left="-6" w:leftChars="-3" w:firstLine="542"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挥发性盐基氮</w:t>
                  </w:r>
                  <w:r>
                    <w:rPr>
                      <w:bCs/>
                      <w:sz w:val="18"/>
                      <w:szCs w:val="18"/>
                      <w:lang w:val="en-GB"/>
                    </w:rPr>
                    <w:sym w:font="Wingdings" w:char="00FE"/>
                  </w:r>
                  <w:r>
                    <w:rPr>
                      <w:rFonts w:hint="eastAsia" w:ascii="Times New Roman" w:hAnsi="Times New Roman"/>
                      <w:bCs/>
                      <w:sz w:val="18"/>
                      <w:szCs w:val="18"/>
                      <w:lang w:val="en-GB"/>
                    </w:rPr>
                    <w:t>组胺</w:t>
                  </w:r>
                </w:p>
                <w:p>
                  <w:pPr>
                    <w:pStyle w:val="2"/>
                    <w:tabs>
                      <w:tab w:val="left" w:pos="540"/>
                    </w:tabs>
                    <w:ind w:left="0" w:firstLine="542"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多氯联苯</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r>
                    <w:rPr>
                      <w:rFonts w:hint="eastAsia"/>
                      <w:bCs/>
                      <w:sz w:val="18"/>
                      <w:szCs w:val="18"/>
                      <w:lang w:val="en-US" w:eastAsia="zh-CN"/>
                    </w:rPr>
                    <w:t>酸奶、牛奶</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p>
                  <w:pPr>
                    <w:jc w:val="center"/>
                    <w:rPr>
                      <w:rFonts w:hint="eastAsia" w:ascii="Times New Roman" w:hAnsi="Times New Roman" w:eastAsia="宋体" w:cs="Times New Roman"/>
                      <w:bCs/>
                      <w:kern w:val="2"/>
                      <w:sz w:val="18"/>
                      <w:szCs w:val="18"/>
                      <w:lang w:val="en-GB" w:eastAsia="zh-CN" w:bidi="ar-SA"/>
                    </w:rPr>
                  </w:pPr>
                  <w:r>
                    <w:rPr>
                      <w:sz w:val="18"/>
                      <w:szCs w:val="18"/>
                    </w:rPr>
                    <w:sym w:font="Wingdings" w:char="00FE"/>
                  </w:r>
                  <w:r>
                    <w:rPr>
                      <w:rFonts w:hint="eastAsia"/>
                      <w:sz w:val="18"/>
                      <w:szCs w:val="18"/>
                      <w:lang w:val="en-US" w:eastAsia="zh-CN"/>
                    </w:rPr>
                    <w:t>三聚氰胺</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盛放容器：</w:t>
                  </w: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bl>
          <w:p>
            <w:pPr>
              <w:pStyle w:val="6"/>
              <w:rPr>
                <w:rFonts w:hint="eastAsia"/>
                <w:lang w:val="en-GB"/>
              </w:rPr>
            </w:pPr>
          </w:p>
          <w:p>
            <w:pPr>
              <w:pStyle w:val="4"/>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修改控制措施（例如，过程参数、严格度和（或）其组合）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eastAsia"/>
                <w:lang w:val="en-GB"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p>
          <w:tbl>
            <w:tblPr>
              <w:tblStyle w:val="10"/>
              <w:tblW w:w="890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1"/>
              <w:gridCol w:w="1234"/>
              <w:gridCol w:w="2220"/>
              <w:gridCol w:w="1736"/>
              <w:gridCol w:w="231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691" w:type="dxa"/>
                  <w:shd w:val="clear" w:color="auto" w:fill="auto"/>
                </w:tcPr>
                <w:p>
                  <w:pPr>
                    <w:pStyle w:val="26"/>
                    <w:rPr>
                      <w:rFonts w:ascii="Times New Roman" w:hAnsi="Times New Roman" w:cs="Times New Roman"/>
                      <w:b w:val="0"/>
                      <w:highlight w:val="none"/>
                      <w:lang w:eastAsia="zh-CN"/>
                    </w:rPr>
                  </w:pPr>
                  <w:r>
                    <w:rPr>
                      <w:rFonts w:ascii="Times New Roman" w:hAnsi="Times New Roman" w:cs="Times New Roman"/>
                      <w:b w:val="0"/>
                      <w:highlight w:val="none"/>
                      <w:lang w:eastAsia="zh-CN"/>
                    </w:rPr>
                    <w:t>序号</w:t>
                  </w:r>
                </w:p>
              </w:tc>
              <w:tc>
                <w:tcPr>
                  <w:tcW w:w="1234" w:type="dxa"/>
                  <w:shd w:val="clear" w:color="auto" w:fill="auto"/>
                </w:tcPr>
                <w:p>
                  <w:pPr>
                    <w:pStyle w:val="26"/>
                    <w:rPr>
                      <w:rFonts w:ascii="Times New Roman" w:hAnsi="Times New Roman" w:cs="Times New Roman"/>
                      <w:b w:val="0"/>
                      <w:highlight w:val="none"/>
                      <w:lang w:eastAsia="zh-CN"/>
                    </w:rPr>
                  </w:pPr>
                  <w:r>
                    <w:rPr>
                      <w:rFonts w:ascii="Times New Roman" w:hAnsi="Times New Roman" w:cs="Times New Roman"/>
                      <w:b w:val="0"/>
                      <w:highlight w:val="none"/>
                      <w:lang w:eastAsia="zh-CN"/>
                    </w:rPr>
                    <w:t>过程步骤</w:t>
                  </w:r>
                </w:p>
              </w:tc>
              <w:tc>
                <w:tcPr>
                  <w:tcW w:w="2220" w:type="dxa"/>
                  <w:shd w:val="clear" w:color="auto" w:fill="auto"/>
                </w:tcPr>
                <w:p>
                  <w:pPr>
                    <w:pStyle w:val="26"/>
                    <w:rPr>
                      <w:rFonts w:ascii="Times New Roman" w:hAnsi="Times New Roman" w:cs="Times New Roman"/>
                      <w:b w:val="0"/>
                      <w:highlight w:val="none"/>
                      <w:lang w:eastAsia="zh-CN"/>
                    </w:rPr>
                  </w:pPr>
                  <w:r>
                    <w:rPr>
                      <w:rFonts w:hint="eastAsia" w:ascii="Times New Roman" w:hAnsi="Times New Roman" w:cs="Times New Roman"/>
                      <w:b w:val="0"/>
                      <w:highlight w:val="none"/>
                      <w:lang w:val="en-US" w:eastAsia="zh-CN"/>
                    </w:rPr>
                    <w:t>显著危害</w:t>
                  </w:r>
                </w:p>
              </w:tc>
              <w:tc>
                <w:tcPr>
                  <w:tcW w:w="1736" w:type="dxa"/>
                  <w:shd w:val="clear" w:color="auto" w:fill="auto"/>
                </w:tcPr>
                <w:p>
                  <w:pPr>
                    <w:pStyle w:val="26"/>
                    <w:rPr>
                      <w:rFonts w:ascii="Times New Roman" w:hAnsi="Times New Roman" w:cs="Times New Roman"/>
                      <w:b w:val="0"/>
                      <w:highlight w:val="none"/>
                      <w:lang w:val="fr-FR" w:eastAsia="zh-CN"/>
                    </w:rPr>
                  </w:pPr>
                  <w:r>
                    <w:rPr>
                      <w:rFonts w:hint="eastAsia" w:ascii="Times New Roman" w:hAnsi="Times New Roman" w:cs="Times New Roman"/>
                      <w:b w:val="0"/>
                      <w:highlight w:val="none"/>
                      <w:lang w:val="en-US" w:eastAsia="zh-CN"/>
                    </w:rPr>
                    <w:t>行动准则</w:t>
                  </w:r>
                </w:p>
              </w:tc>
              <w:tc>
                <w:tcPr>
                  <w:tcW w:w="2319" w:type="dxa"/>
                  <w:shd w:val="clear" w:color="auto" w:fill="auto"/>
                </w:tcPr>
                <w:p>
                  <w:pPr>
                    <w:pStyle w:val="26"/>
                    <w:rPr>
                      <w:rFonts w:ascii="Times New Roman" w:hAnsi="Times New Roman" w:cs="Times New Roman"/>
                      <w:b w:val="0"/>
                      <w:highlight w:val="none"/>
                      <w:lang w:eastAsia="zh-CN"/>
                    </w:rPr>
                  </w:pPr>
                  <w:r>
                    <w:rPr>
                      <w:rFonts w:ascii="Times New Roman" w:hAnsi="Times New Roman" w:cs="Times New Roman"/>
                      <w:b w:val="0"/>
                      <w:highlight w:val="none"/>
                      <w:lang w:eastAsia="zh-CN"/>
                    </w:rPr>
                    <w:t>监控程序</w:t>
                  </w:r>
                </w:p>
              </w:tc>
              <w:tc>
                <w:tcPr>
                  <w:tcW w:w="709" w:type="dxa"/>
                  <w:shd w:val="clear" w:color="auto" w:fill="auto"/>
                </w:tcPr>
                <w:p>
                  <w:pPr>
                    <w:pStyle w:val="26"/>
                    <w:jc w:val="both"/>
                    <w:rPr>
                      <w:rFonts w:ascii="Times New Roman" w:hAnsi="Times New Roman" w:cs="Times New Roman"/>
                      <w:b w:val="0"/>
                      <w:highlight w:val="none"/>
                      <w:lang w:val="en-US" w:eastAsia="zh-CN"/>
                    </w:rPr>
                  </w:pPr>
                  <w:r>
                    <w:rPr>
                      <w:rFonts w:hint="eastAsia" w:ascii="Times New Roman" w:hAnsi="Times New Roman" w:cs="Times New Roman"/>
                      <w:b w:val="0"/>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blHeader/>
              </w:trPr>
              <w:tc>
                <w:tcPr>
                  <w:tcW w:w="691" w:type="dxa"/>
                  <w:shd w:val="clear" w:color="auto" w:fill="auto"/>
                  <w:vAlign w:val="top"/>
                </w:tcPr>
                <w:p>
                  <w:pPr>
                    <w:jc w:val="left"/>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rPr>
                    <w:t>OPRP</w:t>
                  </w:r>
                  <w:r>
                    <w:rPr>
                      <w:rFonts w:hint="eastAsia"/>
                      <w:sz w:val="18"/>
                      <w:szCs w:val="18"/>
                      <w:highlight w:val="none"/>
                      <w:lang w:val="en-US" w:eastAsia="zh-CN"/>
                    </w:rPr>
                    <w:t>a</w:t>
                  </w:r>
                </w:p>
              </w:tc>
              <w:tc>
                <w:tcPr>
                  <w:tcW w:w="1234" w:type="dxa"/>
                  <w:shd w:val="clear" w:color="auto" w:fill="auto"/>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sz w:val="18"/>
                      <w:szCs w:val="18"/>
                      <w:highlight w:val="none"/>
                    </w:rPr>
                    <w:t>畜禽肉类原料采购验收</w:t>
                  </w:r>
                </w:p>
              </w:tc>
              <w:tc>
                <w:tcPr>
                  <w:tcW w:w="2220" w:type="dxa"/>
                  <w:shd w:val="clear" w:color="auto" w:fill="auto"/>
                  <w:vAlign w:val="top"/>
                </w:tcPr>
                <w:p>
                  <w:pPr>
                    <w:jc w:val="left"/>
                    <w:rPr>
                      <w:rFonts w:hint="eastAsia" w:ascii="Times New Roman" w:hAnsi="Times New Roman" w:eastAsia="宋体" w:cs="Times New Roman"/>
                      <w:kern w:val="2"/>
                      <w:sz w:val="18"/>
                      <w:szCs w:val="18"/>
                      <w:highlight w:val="none"/>
                      <w:lang w:val="en-US" w:eastAsia="zh-CN" w:bidi="ar-SA"/>
                    </w:rPr>
                  </w:pPr>
                  <w:r>
                    <w:rPr>
                      <w:rFonts w:hint="eastAsia" w:ascii="宋体" w:hAnsi="宋体"/>
                      <w:sz w:val="18"/>
                      <w:szCs w:val="18"/>
                      <w:highlight w:val="none"/>
                    </w:rPr>
                    <w:t>有害微生物、重金属、挥发性盐基氮、抗生素、促生长素等有害化学物质超标</w:t>
                  </w:r>
                </w:p>
              </w:tc>
              <w:tc>
                <w:tcPr>
                  <w:tcW w:w="1736" w:type="dxa"/>
                  <w:shd w:val="clear" w:color="auto" w:fill="auto"/>
                  <w:vAlign w:val="top"/>
                </w:tcPr>
                <w:p>
                  <w:pPr>
                    <w:jc w:val="left"/>
                    <w:rPr>
                      <w:rFonts w:hint="eastAsia"/>
                      <w:sz w:val="18"/>
                      <w:szCs w:val="18"/>
                      <w:highlight w:val="none"/>
                    </w:rPr>
                  </w:pPr>
                  <w:r>
                    <w:rPr>
                      <w:rFonts w:hint="eastAsia"/>
                      <w:sz w:val="18"/>
                      <w:szCs w:val="18"/>
                      <w:highlight w:val="none"/>
                    </w:rPr>
                    <w:t>来自合格供方；</w:t>
                  </w:r>
                </w:p>
                <w:p>
                  <w:pPr>
                    <w:jc w:val="left"/>
                    <w:rPr>
                      <w:rFonts w:hint="eastAsia"/>
                      <w:sz w:val="18"/>
                      <w:szCs w:val="18"/>
                      <w:highlight w:val="none"/>
                    </w:rPr>
                  </w:pPr>
                  <w:r>
                    <w:rPr>
                      <w:rFonts w:hint="eastAsia"/>
                      <w:sz w:val="18"/>
                      <w:szCs w:val="18"/>
                      <w:highlight w:val="none"/>
                    </w:rPr>
                    <w:t>动物检疫证明；</w:t>
                  </w:r>
                </w:p>
                <w:p>
                  <w:pPr>
                    <w:jc w:val="left"/>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合格的产品检测报告</w:t>
                  </w:r>
                </w:p>
              </w:tc>
              <w:tc>
                <w:tcPr>
                  <w:tcW w:w="2319" w:type="dxa"/>
                  <w:shd w:val="clear" w:color="auto" w:fill="auto"/>
                  <w:vAlign w:val="top"/>
                </w:tcPr>
                <w:p>
                  <w:pPr>
                    <w:jc w:val="left"/>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验收员每批查验是否从合格供方采购，每年验证产品安全性报告</w:t>
                  </w:r>
                </w:p>
              </w:tc>
              <w:tc>
                <w:tcPr>
                  <w:tcW w:w="709" w:type="dxa"/>
                  <w:shd w:val="clear" w:color="auto" w:fill="auto"/>
                  <w:vAlign w:val="top"/>
                </w:tcPr>
                <w:p>
                  <w:pPr>
                    <w:jc w:val="left"/>
                    <w:rPr>
                      <w:rFonts w:hint="eastAsia" w:ascii="Times New Roman" w:hAnsi="Times New Roman" w:eastAsia="宋体" w:cs="Times New Roman"/>
                      <w:kern w:val="0"/>
                      <w:sz w:val="18"/>
                      <w:szCs w:val="18"/>
                      <w:highlight w:val="none"/>
                      <w:lang w:val="en-US" w:eastAsia="zh-CN" w:bidi="ar-SA"/>
                    </w:rPr>
                  </w:pPr>
                  <w:r>
                    <w:rPr>
                      <w:rFonts w:hint="eastAsia" w:eastAsia="宋体"/>
                      <w:kern w:val="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7" w:hRule="atLeast"/>
                <w:tblHeader/>
              </w:trPr>
              <w:tc>
                <w:tcPr>
                  <w:tcW w:w="691" w:type="dxa"/>
                  <w:shd w:val="clear" w:color="auto" w:fill="auto"/>
                  <w:vAlign w:val="top"/>
                </w:tcPr>
                <w:p>
                  <w:pPr>
                    <w:pStyle w:val="26"/>
                    <w:rPr>
                      <w:rFonts w:hint="eastAsia" w:ascii="Times New Roman" w:hAnsi="Times New Roman" w:eastAsia="宋体" w:cs="Times New Roman"/>
                      <w:b w:val="0"/>
                      <w:bCs/>
                      <w:snapToGrid w:val="0"/>
                      <w:kern w:val="0"/>
                      <w:sz w:val="18"/>
                      <w:szCs w:val="18"/>
                      <w:highlight w:val="none"/>
                      <w:lang w:val="en-US" w:eastAsia="zh-CN" w:bidi="ar-SA"/>
                    </w:rPr>
                  </w:pPr>
                  <w:r>
                    <w:rPr>
                      <w:rFonts w:hint="eastAsia" w:ascii="Times New Roman" w:hAnsi="Times New Roman" w:cs="Times New Roman"/>
                      <w:b w:val="0"/>
                      <w:highlight w:val="none"/>
                      <w:lang w:val="en-US" w:eastAsia="zh-CN"/>
                    </w:rPr>
                    <w:t>OPRPb</w:t>
                  </w:r>
                </w:p>
              </w:tc>
              <w:tc>
                <w:tcPr>
                  <w:tcW w:w="1234" w:type="dxa"/>
                  <w:shd w:val="clear" w:color="auto" w:fill="auto"/>
                  <w:vAlign w:val="top"/>
                </w:tcPr>
                <w:p>
                  <w:pPr>
                    <w:pStyle w:val="26"/>
                    <w:rPr>
                      <w:rFonts w:hint="eastAsia" w:ascii="Times New Roman" w:hAnsi="Times New Roman" w:eastAsia="宋体" w:cs="Times New Roman"/>
                      <w:b w:val="0"/>
                      <w:bCs w:val="0"/>
                      <w:snapToGrid w:val="0"/>
                      <w:kern w:val="0"/>
                      <w:sz w:val="18"/>
                      <w:szCs w:val="18"/>
                      <w:highlight w:val="none"/>
                      <w:lang w:val="de-DE" w:eastAsia="zh-CN" w:bidi="ar-SA"/>
                    </w:rPr>
                  </w:pPr>
                  <w:r>
                    <w:rPr>
                      <w:rFonts w:hint="eastAsia" w:ascii="宋体" w:hAnsi="宋体"/>
                      <w:b w:val="0"/>
                      <w:bCs w:val="0"/>
                      <w:color w:val="000000"/>
                      <w:sz w:val="18"/>
                      <w:szCs w:val="18"/>
                      <w:highlight w:val="none"/>
                    </w:rPr>
                    <w:t>冷冻水产类的验收</w:t>
                  </w:r>
                </w:p>
              </w:tc>
              <w:tc>
                <w:tcPr>
                  <w:tcW w:w="2220" w:type="dxa"/>
                  <w:shd w:val="clear" w:color="auto" w:fill="auto"/>
                  <w:vAlign w:val="top"/>
                </w:tcPr>
                <w:p>
                  <w:pPr>
                    <w:pStyle w:val="26"/>
                    <w:rPr>
                      <w:rFonts w:hint="eastAsia" w:ascii="Times New Roman" w:hAnsi="Times New Roman" w:eastAsia="宋体" w:cs="Times New Roman"/>
                      <w:b w:val="0"/>
                      <w:bCs w:val="0"/>
                      <w:snapToGrid w:val="0"/>
                      <w:kern w:val="0"/>
                      <w:sz w:val="18"/>
                      <w:szCs w:val="18"/>
                      <w:highlight w:val="none"/>
                      <w:lang w:val="en-US" w:eastAsia="zh-CN" w:bidi="ar-SA"/>
                    </w:rPr>
                  </w:pPr>
                  <w:r>
                    <w:rPr>
                      <w:rFonts w:hint="eastAsia" w:ascii="Times New Roman" w:hAnsi="Times New Roman" w:cs="Times New Roman"/>
                      <w:b w:val="0"/>
                      <w:bCs w:val="0"/>
                      <w:highlight w:val="none"/>
                      <w:lang w:val="en-US" w:eastAsia="zh-CN"/>
                    </w:rPr>
                    <w:t>病原体存活</w:t>
                  </w:r>
                </w:p>
              </w:tc>
              <w:tc>
                <w:tcPr>
                  <w:tcW w:w="1736" w:type="dxa"/>
                  <w:shd w:val="clear" w:color="auto" w:fill="auto"/>
                  <w:vAlign w:val="top"/>
                </w:tcPr>
                <w:p>
                  <w:pPr>
                    <w:pStyle w:val="26"/>
                    <w:rPr>
                      <w:rFonts w:hint="eastAsia" w:ascii="Times New Roman" w:hAnsi="Times New Roman" w:eastAsia="宋体" w:cs="Times New Roman"/>
                      <w:b w:val="0"/>
                      <w:bCs w:val="0"/>
                      <w:snapToGrid w:val="0"/>
                      <w:kern w:val="0"/>
                      <w:sz w:val="18"/>
                      <w:szCs w:val="18"/>
                      <w:highlight w:val="none"/>
                      <w:lang w:val="en-US" w:eastAsia="zh-CN" w:bidi="ar-SA"/>
                    </w:rPr>
                  </w:pPr>
                  <w:r>
                    <w:rPr>
                      <w:rFonts w:hint="eastAsia" w:ascii="宋体" w:hAnsi="宋体"/>
                      <w:b w:val="0"/>
                      <w:bCs w:val="0"/>
                      <w:color w:val="000000"/>
                      <w:sz w:val="18"/>
                      <w:szCs w:val="18"/>
                      <w:highlight w:val="none"/>
                    </w:rPr>
                    <w:t>深冷产品＜－18℃</w:t>
                  </w:r>
                </w:p>
              </w:tc>
              <w:tc>
                <w:tcPr>
                  <w:tcW w:w="2319" w:type="dxa"/>
                  <w:shd w:val="clear" w:color="auto" w:fill="auto"/>
                  <w:vAlign w:val="top"/>
                </w:tcPr>
                <w:p>
                  <w:pPr>
                    <w:pStyle w:val="26"/>
                    <w:rPr>
                      <w:rFonts w:hint="eastAsia" w:ascii="Times New Roman" w:hAnsi="Times New Roman" w:eastAsia="宋体" w:cs="Times New Roman"/>
                      <w:b w:val="0"/>
                      <w:bCs w:val="0"/>
                      <w:snapToGrid w:val="0"/>
                      <w:kern w:val="0"/>
                      <w:sz w:val="18"/>
                      <w:szCs w:val="18"/>
                      <w:highlight w:val="none"/>
                      <w:lang w:val="en-US" w:eastAsia="zh-CN" w:bidi="ar-SA"/>
                    </w:rPr>
                  </w:pPr>
                  <w:r>
                    <w:rPr>
                      <w:rFonts w:hint="eastAsia" w:ascii="Times New Roman" w:hAnsi="Times New Roman" w:cs="Times New Roman"/>
                      <w:b w:val="0"/>
                      <w:bCs w:val="0"/>
                      <w:highlight w:val="none"/>
                      <w:lang w:val="en-US" w:eastAsia="zh-CN"/>
                    </w:rPr>
                    <w:t>品控部人员每批在验收时检测产品中心温度</w:t>
                  </w:r>
                </w:p>
              </w:tc>
              <w:tc>
                <w:tcPr>
                  <w:tcW w:w="709" w:type="dxa"/>
                  <w:shd w:val="clear" w:color="auto" w:fill="auto"/>
                  <w:vAlign w:val="top"/>
                </w:tcPr>
                <w:p>
                  <w:pPr>
                    <w:pStyle w:val="26"/>
                    <w:jc w:val="both"/>
                    <w:rPr>
                      <w:rFonts w:hint="eastAsia" w:ascii="Times New Roman" w:hAnsi="Times New Roman" w:eastAsia="宋体" w:cs="Times New Roman"/>
                      <w:b w:val="0"/>
                      <w:bCs w:val="0"/>
                      <w:snapToGrid w:val="0"/>
                      <w:kern w:val="0"/>
                      <w:sz w:val="18"/>
                      <w:szCs w:val="18"/>
                      <w:highlight w:val="none"/>
                      <w:lang w:val="en-US" w:eastAsia="zh-CN" w:bidi="ar-SA"/>
                    </w:rPr>
                  </w:pPr>
                  <w:r>
                    <w:rPr>
                      <w:rFonts w:hint="eastAsia" w:ascii="宋体" w:hAnsi="宋体" w:eastAsia="宋体"/>
                      <w:b w:val="0"/>
                      <w:bCs w:val="0"/>
                      <w:snapToGrid w:val="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7" w:hRule="atLeast"/>
                <w:tblHeader/>
              </w:trPr>
              <w:tc>
                <w:tcPr>
                  <w:tcW w:w="691" w:type="dxa"/>
                  <w:shd w:val="clear" w:color="auto" w:fill="auto"/>
                  <w:vAlign w:val="top"/>
                </w:tcPr>
                <w:p>
                  <w:pPr>
                    <w:pStyle w:val="26"/>
                    <w:rPr>
                      <w:rFonts w:hint="eastAsia" w:ascii="Times New Roman" w:hAnsi="Times New Roman" w:cs="Times New Roman"/>
                      <w:b w:val="0"/>
                      <w:highlight w:val="none"/>
                      <w:lang w:val="en-US" w:eastAsia="zh-CN"/>
                    </w:rPr>
                  </w:pPr>
                </w:p>
              </w:tc>
              <w:tc>
                <w:tcPr>
                  <w:tcW w:w="1234" w:type="dxa"/>
                  <w:shd w:val="clear" w:color="auto" w:fill="auto"/>
                  <w:vAlign w:val="top"/>
                </w:tcPr>
                <w:p>
                  <w:pPr>
                    <w:pStyle w:val="26"/>
                    <w:rPr>
                      <w:rFonts w:hint="eastAsia" w:ascii="宋体" w:hAnsi="宋体"/>
                      <w:b w:val="0"/>
                      <w:bCs w:val="0"/>
                      <w:color w:val="000000"/>
                      <w:sz w:val="18"/>
                      <w:szCs w:val="18"/>
                      <w:highlight w:val="none"/>
                    </w:rPr>
                  </w:pPr>
                </w:p>
              </w:tc>
              <w:tc>
                <w:tcPr>
                  <w:tcW w:w="2220" w:type="dxa"/>
                  <w:shd w:val="clear" w:color="auto" w:fill="auto"/>
                  <w:vAlign w:val="top"/>
                </w:tcPr>
                <w:p>
                  <w:pPr>
                    <w:pStyle w:val="26"/>
                    <w:rPr>
                      <w:rFonts w:hint="eastAsia" w:ascii="Times New Roman" w:hAnsi="Times New Roman" w:cs="Times New Roman"/>
                      <w:b w:val="0"/>
                      <w:bCs w:val="0"/>
                      <w:highlight w:val="none"/>
                      <w:lang w:val="en-US" w:eastAsia="zh-CN"/>
                    </w:rPr>
                  </w:pPr>
                </w:p>
              </w:tc>
              <w:tc>
                <w:tcPr>
                  <w:tcW w:w="1736" w:type="dxa"/>
                  <w:shd w:val="clear" w:color="auto" w:fill="auto"/>
                  <w:vAlign w:val="top"/>
                </w:tcPr>
                <w:p>
                  <w:pPr>
                    <w:pStyle w:val="26"/>
                    <w:rPr>
                      <w:rFonts w:hint="eastAsia" w:ascii="宋体" w:hAnsi="宋体"/>
                      <w:b w:val="0"/>
                      <w:bCs w:val="0"/>
                      <w:color w:val="000000"/>
                      <w:sz w:val="18"/>
                      <w:szCs w:val="18"/>
                      <w:highlight w:val="none"/>
                    </w:rPr>
                  </w:pPr>
                </w:p>
              </w:tc>
              <w:tc>
                <w:tcPr>
                  <w:tcW w:w="2319" w:type="dxa"/>
                  <w:shd w:val="clear" w:color="auto" w:fill="auto"/>
                  <w:vAlign w:val="top"/>
                </w:tcPr>
                <w:p>
                  <w:pPr>
                    <w:pStyle w:val="26"/>
                    <w:rPr>
                      <w:rFonts w:hint="eastAsia" w:ascii="Times New Roman" w:hAnsi="Times New Roman" w:cs="Times New Roman"/>
                      <w:b w:val="0"/>
                      <w:bCs w:val="0"/>
                      <w:highlight w:val="none"/>
                      <w:lang w:val="en-US" w:eastAsia="zh-CN"/>
                    </w:rPr>
                  </w:pPr>
                </w:p>
              </w:tc>
              <w:tc>
                <w:tcPr>
                  <w:tcW w:w="709" w:type="dxa"/>
                  <w:shd w:val="clear" w:color="auto" w:fill="auto"/>
                  <w:vAlign w:val="top"/>
                </w:tcPr>
                <w:p>
                  <w:pPr>
                    <w:pStyle w:val="26"/>
                    <w:jc w:val="both"/>
                    <w:rPr>
                      <w:rFonts w:hint="default" w:ascii="宋体" w:hAnsi="宋体"/>
                      <w:b w:val="0"/>
                      <w:bCs w:val="0"/>
                      <w:snapToGrid w:val="0"/>
                      <w:sz w:val="18"/>
                      <w:szCs w:val="18"/>
                      <w:highlight w:val="none"/>
                      <w:lang w:val="en-US"/>
                    </w:rPr>
                  </w:pPr>
                </w:p>
              </w:tc>
            </w:tr>
          </w:tbl>
          <w:p>
            <w:pPr>
              <w:pStyle w:val="6"/>
              <w:rPr>
                <w:rFonts w:hint="eastAsia"/>
                <w:lang w:val="en-GB" w:eastAsia="zh-CN"/>
              </w:rPr>
            </w:pPr>
          </w:p>
          <w:p>
            <w:pPr>
              <w:spacing w:before="240" w:after="120"/>
              <w:rPr>
                <w:rFonts w:hint="default" w:eastAsia="宋体"/>
                <w:u w:val="single"/>
                <w:lang w:val="en-US" w:eastAsia="zh-CN"/>
              </w:rPr>
            </w:pPr>
            <w:r>
              <w:rPr>
                <w:rFonts w:hint="eastAsia"/>
                <w:u w:val="single"/>
                <w:lang w:val="en-US" w:eastAsia="zh-CN"/>
              </w:rPr>
              <w:t>OPRPb 冷冻水产品类经现场沟通确认审核周期内暂无销售，不影响体系的运行，暂不适用，后期销售此类产品再关注。</w:t>
            </w:r>
          </w:p>
          <w:p>
            <w:pPr>
              <w:spacing w:before="240" w:after="120"/>
              <w:rPr>
                <w:rFonts w:hint="eastAsia" w:eastAsia="宋体"/>
                <w:lang w:val="en-GB" w:eastAsia="zh-CN"/>
              </w:rPr>
            </w:pPr>
            <w:r>
              <w:rPr>
                <w:lang w:val="en-GB"/>
              </w:rPr>
              <w:t>HACCP计划1</w:t>
            </w:r>
            <w:r>
              <w:rPr>
                <w:rFonts w:hint="eastAsia"/>
                <w:lang w:val="en-GB" w:eastAsia="zh-CN"/>
              </w:rPr>
              <w:t>：</w:t>
            </w: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82"/>
              <w:gridCol w:w="1253"/>
              <w:gridCol w:w="1133"/>
              <w:gridCol w:w="2305"/>
              <w:gridCol w:w="180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59" w:hRule="atLeast"/>
                <w:tblHeader/>
              </w:trPr>
              <w:tc>
                <w:tcPr>
                  <w:tcW w:w="782" w:type="dxa"/>
                  <w:shd w:val="clear" w:color="auto" w:fill="auto"/>
                </w:tcPr>
                <w:p>
                  <w:pPr>
                    <w:pStyle w:val="26"/>
                    <w:rPr>
                      <w:rFonts w:ascii="Times New Roman" w:hAnsi="Times New Roman" w:cs="Times New Roman"/>
                      <w:b w:val="0"/>
                      <w:bCs w:val="0"/>
                      <w:lang w:eastAsia="zh-CN"/>
                    </w:rPr>
                  </w:pPr>
                  <w:r>
                    <w:rPr>
                      <w:rFonts w:ascii="Times New Roman" w:hAnsi="Times New Roman" w:cs="Times New Roman"/>
                      <w:b w:val="0"/>
                      <w:bCs w:val="0"/>
                      <w:lang w:eastAsia="zh-CN"/>
                    </w:rPr>
                    <w:t>序号</w:t>
                  </w:r>
                </w:p>
              </w:tc>
              <w:tc>
                <w:tcPr>
                  <w:tcW w:w="1253" w:type="dxa"/>
                  <w:shd w:val="clear" w:color="auto" w:fill="auto"/>
                </w:tcPr>
                <w:p>
                  <w:pPr>
                    <w:pStyle w:val="26"/>
                    <w:rPr>
                      <w:rFonts w:ascii="Times New Roman" w:hAnsi="Times New Roman" w:cs="Times New Roman"/>
                      <w:b w:val="0"/>
                      <w:bCs w:val="0"/>
                      <w:lang w:eastAsia="zh-CN"/>
                    </w:rPr>
                  </w:pPr>
                  <w:r>
                    <w:rPr>
                      <w:rFonts w:ascii="Times New Roman" w:hAnsi="Times New Roman" w:cs="Times New Roman"/>
                      <w:b w:val="0"/>
                      <w:bCs w:val="0"/>
                      <w:lang w:eastAsia="zh-CN"/>
                    </w:rPr>
                    <w:t>过程步骤</w:t>
                  </w:r>
                </w:p>
              </w:tc>
              <w:tc>
                <w:tcPr>
                  <w:tcW w:w="1133" w:type="dxa"/>
                  <w:shd w:val="clear" w:color="auto" w:fill="auto"/>
                </w:tcPr>
                <w:p>
                  <w:pPr>
                    <w:pStyle w:val="26"/>
                    <w:rPr>
                      <w:rFonts w:ascii="Times New Roman" w:hAnsi="Times New Roman" w:cs="Times New Roman"/>
                      <w:b w:val="0"/>
                      <w:bCs w:val="0"/>
                      <w:lang w:eastAsia="zh-CN"/>
                    </w:rPr>
                  </w:pPr>
                  <w:r>
                    <w:rPr>
                      <w:rFonts w:hint="eastAsia" w:ascii="Times New Roman" w:hAnsi="Times New Roman" w:cs="Times New Roman"/>
                      <w:b w:val="0"/>
                      <w:bCs w:val="0"/>
                      <w:lang w:val="en-US" w:eastAsia="zh-CN"/>
                    </w:rPr>
                    <w:t>显著危害</w:t>
                  </w:r>
                </w:p>
              </w:tc>
              <w:tc>
                <w:tcPr>
                  <w:tcW w:w="2305" w:type="dxa"/>
                  <w:shd w:val="clear" w:color="auto" w:fill="auto"/>
                </w:tcPr>
                <w:p>
                  <w:pPr>
                    <w:pStyle w:val="26"/>
                    <w:rPr>
                      <w:rFonts w:ascii="Times New Roman" w:hAnsi="Times New Roman" w:cs="Times New Roman"/>
                      <w:b w:val="0"/>
                      <w:bCs w:val="0"/>
                      <w:lang w:val="fr-FR" w:eastAsia="zh-CN"/>
                    </w:rPr>
                  </w:pPr>
                  <w:r>
                    <w:rPr>
                      <w:rFonts w:ascii="Times New Roman" w:hAnsi="Times New Roman" w:cs="Times New Roman"/>
                      <w:b w:val="0"/>
                      <w:bCs w:val="0"/>
                      <w:lang w:val="fr-FR" w:eastAsia="zh-CN"/>
                    </w:rPr>
                    <w:t>关键限值</w:t>
                  </w:r>
                </w:p>
              </w:tc>
              <w:tc>
                <w:tcPr>
                  <w:tcW w:w="1807" w:type="dxa"/>
                  <w:shd w:val="clear" w:color="auto" w:fill="auto"/>
                </w:tcPr>
                <w:p>
                  <w:pPr>
                    <w:pStyle w:val="26"/>
                    <w:rPr>
                      <w:rFonts w:ascii="Times New Roman" w:hAnsi="Times New Roman" w:cs="Times New Roman"/>
                      <w:b w:val="0"/>
                      <w:bCs w:val="0"/>
                      <w:lang w:val="fr-FR" w:eastAsia="zh-CN"/>
                    </w:rPr>
                  </w:pPr>
                  <w:r>
                    <w:rPr>
                      <w:rFonts w:ascii="Times New Roman" w:hAnsi="Times New Roman" w:cs="Times New Roman"/>
                      <w:b w:val="0"/>
                      <w:bCs w:val="0"/>
                      <w:lang w:eastAsia="zh-CN"/>
                    </w:rPr>
                    <w:t>监控程序</w:t>
                  </w:r>
                </w:p>
              </w:tc>
              <w:tc>
                <w:tcPr>
                  <w:tcW w:w="1416" w:type="dxa"/>
                  <w:shd w:val="clear" w:color="auto" w:fill="auto"/>
                </w:tcPr>
                <w:p>
                  <w:pPr>
                    <w:pStyle w:val="26"/>
                    <w:jc w:val="both"/>
                    <w:rPr>
                      <w:rFonts w:ascii="Times New Roman" w:hAnsi="Times New Roman" w:cs="Times New Roman"/>
                      <w:b w:val="0"/>
                      <w:bCs w:val="0"/>
                      <w:lang w:val="en-US" w:eastAsia="zh-CN"/>
                    </w:rPr>
                  </w:pPr>
                  <w:r>
                    <w:rPr>
                      <w:rFonts w:ascii="Times New Roman" w:hAnsi="Times New Roman" w:cs="Times New Roman"/>
                      <w:b w:val="0"/>
                      <w:bCs w:val="0"/>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78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CCP1</w:t>
                  </w:r>
                </w:p>
              </w:tc>
              <w:tc>
                <w:tcPr>
                  <w:tcW w:w="125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ascii="宋体" w:hAnsi="宋体"/>
                      <w:sz w:val="18"/>
                      <w:szCs w:val="18"/>
                    </w:rPr>
                    <w:t>禽肉类原料的冷冻、冷藏储存</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ascii="宋体" w:hAnsi="宋体"/>
                      <w:sz w:val="18"/>
                      <w:szCs w:val="18"/>
                    </w:rPr>
                    <w:t>病原体存活</w:t>
                  </w:r>
                </w:p>
              </w:tc>
              <w:tc>
                <w:tcPr>
                  <w:tcW w:w="2305" w:type="dxa"/>
                  <w:tcBorders>
                    <w:top w:val="single" w:color="auto" w:sz="4" w:space="0"/>
                    <w:left w:val="single" w:color="auto" w:sz="4" w:space="0"/>
                    <w:bottom w:val="single" w:color="auto" w:sz="4" w:space="0"/>
                    <w:right w:val="single" w:color="auto" w:sz="4" w:space="0"/>
                  </w:tcBorders>
                  <w:shd w:val="clear" w:color="auto" w:fill="auto"/>
                </w:tcPr>
                <w:p>
                  <w:pPr>
                    <w:spacing w:line="220" w:lineRule="exact"/>
                    <w:jc w:val="both"/>
                    <w:rPr>
                      <w:rFonts w:hint="eastAsia" w:ascii="宋体" w:hAnsi="宋体" w:eastAsia="宋体"/>
                      <w:sz w:val="18"/>
                      <w:szCs w:val="18"/>
                      <w:lang w:eastAsia="zh-CN"/>
                    </w:rPr>
                  </w:pPr>
                  <w:r>
                    <w:rPr>
                      <w:rFonts w:hint="eastAsia" w:ascii="宋体" w:hAnsi="宋体"/>
                      <w:sz w:val="18"/>
                      <w:szCs w:val="18"/>
                    </w:rPr>
                    <w:t>冻结库温度</w:t>
                  </w:r>
                  <w:r>
                    <w:rPr>
                      <w:rFonts w:hint="eastAsia" w:ascii="宋体" w:hAnsi="宋体"/>
                      <w:sz w:val="18"/>
                      <w:szCs w:val="18"/>
                      <w:lang w:eastAsia="zh-CN"/>
                    </w:rPr>
                    <w:t>：</w:t>
                  </w:r>
                </w:p>
                <w:p>
                  <w:pPr>
                    <w:jc w:val="left"/>
                    <w:rPr>
                      <w:rFonts w:hint="eastAsia" w:ascii="宋体" w:hAnsi="宋体"/>
                      <w:sz w:val="18"/>
                      <w:szCs w:val="18"/>
                    </w:rPr>
                  </w:pPr>
                  <w:r>
                    <w:rPr>
                      <w:rFonts w:hint="eastAsia" w:ascii="宋体" w:hAnsi="宋体"/>
                      <w:sz w:val="18"/>
                      <w:szCs w:val="18"/>
                    </w:rPr>
                    <w:t>-15</w:t>
                  </w:r>
                  <w:r>
                    <w:rPr>
                      <w:sz w:val="18"/>
                      <w:szCs w:val="18"/>
                    </w:rPr>
                    <w:t>~</w:t>
                  </w:r>
                  <w:r>
                    <w:rPr>
                      <w:rFonts w:hint="eastAsia" w:ascii="宋体" w:hAnsi="宋体"/>
                      <w:sz w:val="18"/>
                      <w:szCs w:val="18"/>
                    </w:rPr>
                    <w:t>-20℃以下。</w:t>
                  </w:r>
                </w:p>
                <w:p>
                  <w:pPr>
                    <w:jc w:val="left"/>
                    <w:rPr>
                      <w:sz w:val="18"/>
                      <w:szCs w:val="18"/>
                      <w:lang w:val="fr-FR"/>
                    </w:rPr>
                  </w:pPr>
                  <w:r>
                    <w:rPr>
                      <w:rFonts w:hint="eastAsia" w:ascii="宋体" w:hAnsi="宋体"/>
                      <w:sz w:val="18"/>
                      <w:szCs w:val="18"/>
                    </w:rPr>
                    <w:t>冷藏库温度保持0~</w:t>
                  </w:r>
                  <w:r>
                    <w:rPr>
                      <w:rFonts w:ascii="宋体" w:hAnsi="宋体"/>
                      <w:sz w:val="18"/>
                      <w:szCs w:val="18"/>
                    </w:rPr>
                    <w:t>1</w:t>
                  </w:r>
                  <w:r>
                    <w:rPr>
                      <w:rFonts w:hint="eastAsia" w:ascii="宋体" w:hAnsi="宋体"/>
                      <w:sz w:val="18"/>
                      <w:szCs w:val="18"/>
                    </w:rPr>
                    <w:t>0℃</w:t>
                  </w:r>
                </w:p>
              </w:tc>
              <w:tc>
                <w:tcPr>
                  <w:tcW w:w="1807"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仓管员每天监控冷藏库、冷冻库温度</w:t>
                  </w:r>
                </w:p>
              </w:tc>
              <w:tc>
                <w:tcPr>
                  <w:tcW w:w="14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18"/>
                      <w:szCs w:val="18"/>
                      <w:lang w:eastAsia="zh-CN"/>
                    </w:rPr>
                  </w:pPr>
                  <w:r>
                    <w:rPr>
                      <w:rFonts w:hint="eastAsia"/>
                      <w:sz w:val="18"/>
                      <w:szCs w:val="18"/>
                      <w:highlight w:val="none"/>
                      <w:lang w:eastAsia="zh-CN"/>
                    </w:rPr>
                    <w:t>《</w:t>
                  </w:r>
                  <w:r>
                    <w:rPr>
                      <w:rFonts w:hint="eastAsia"/>
                      <w:sz w:val="18"/>
                      <w:szCs w:val="18"/>
                      <w:highlight w:val="none"/>
                      <w:lang w:val="en-US" w:eastAsia="zh-CN"/>
                    </w:rPr>
                    <w:t>冷冻库冷藏库温度监控记录</w:t>
                  </w:r>
                  <w:r>
                    <w:rPr>
                      <w:rFonts w:hint="eastAsia"/>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78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w:t>
                  </w:r>
                  <w:r>
                    <w:rPr>
                      <w:sz w:val="18"/>
                      <w:szCs w:val="18"/>
                    </w:rPr>
                    <w:t>2</w:t>
                  </w:r>
                </w:p>
              </w:tc>
              <w:tc>
                <w:tcPr>
                  <w:tcW w:w="125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配送</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sz w:val="18"/>
                      <w:szCs w:val="18"/>
                      <w:lang w:val="fr-FR"/>
                    </w:rPr>
                    <w:t>病原体存活</w:t>
                  </w:r>
                </w:p>
              </w:tc>
              <w:tc>
                <w:tcPr>
                  <w:tcW w:w="2305"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eastAsia="宋体"/>
                      <w:sz w:val="18"/>
                      <w:szCs w:val="18"/>
                      <w:lang w:eastAsia="zh-CN"/>
                    </w:rPr>
                  </w:pPr>
                  <w:r>
                    <w:rPr>
                      <w:rFonts w:hint="eastAsia"/>
                      <w:sz w:val="18"/>
                      <w:szCs w:val="18"/>
                    </w:rPr>
                    <w:t>温度不高于10~15℃（冷鲜产品冷藏）</w:t>
                  </w:r>
                  <w:r>
                    <w:rPr>
                      <w:rFonts w:hint="eastAsia"/>
                      <w:sz w:val="18"/>
                      <w:szCs w:val="18"/>
                      <w:lang w:eastAsia="zh-CN"/>
                    </w:rPr>
                    <w:t>；</w:t>
                  </w:r>
                  <w:r>
                    <w:rPr>
                      <w:rFonts w:hint="eastAsia"/>
                      <w:sz w:val="18"/>
                      <w:szCs w:val="18"/>
                    </w:rPr>
                    <w:t>温度不高于0度（冷冻产品）</w:t>
                  </w:r>
                  <w:r>
                    <w:rPr>
                      <w:rFonts w:hint="eastAsia"/>
                      <w:sz w:val="18"/>
                      <w:szCs w:val="18"/>
                      <w:lang w:eastAsia="zh-CN"/>
                    </w:rPr>
                    <w:t>；</w:t>
                  </w:r>
                </w:p>
              </w:tc>
              <w:tc>
                <w:tcPr>
                  <w:tcW w:w="180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配送员每车感官检查</w:t>
                  </w:r>
                  <w:r>
                    <w:rPr>
                      <w:rFonts w:hint="eastAsia" w:ascii="宋体" w:hAnsi="宋体"/>
                      <w:sz w:val="18"/>
                      <w:szCs w:val="18"/>
                    </w:rPr>
                    <w:t>及温度测量</w:t>
                  </w:r>
                </w:p>
              </w:tc>
              <w:tc>
                <w:tcPr>
                  <w:tcW w:w="14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18"/>
                      <w:szCs w:val="18"/>
                      <w:lang w:eastAsia="zh-CN"/>
                    </w:rPr>
                  </w:pPr>
                  <w:r>
                    <w:rPr>
                      <w:rFonts w:hint="eastAsia"/>
                      <w:sz w:val="18"/>
                      <w:szCs w:val="18"/>
                      <w:lang w:eastAsia="zh-CN"/>
                    </w:rPr>
                    <w:t>《</w:t>
                  </w:r>
                  <w:r>
                    <w:rPr>
                      <w:rFonts w:hint="eastAsia"/>
                      <w:sz w:val="18"/>
                      <w:szCs w:val="18"/>
                      <w:lang w:val="en-US" w:eastAsia="zh-CN"/>
                    </w:rPr>
                    <w:t>配送单</w:t>
                  </w:r>
                  <w:r>
                    <w:rPr>
                      <w:rFonts w:hint="eastAsia"/>
                      <w:sz w:val="18"/>
                      <w:szCs w:val="18"/>
                      <w:lang w:eastAsia="zh-CN"/>
                    </w:rPr>
                    <w:t>》</w:t>
                  </w:r>
                </w:p>
              </w:tc>
            </w:tr>
          </w:tbl>
          <w:p>
            <w:pPr>
              <w:pStyle w:val="6"/>
              <w:rPr>
                <w:rFonts w:hint="eastAsia"/>
                <w:lang w:val="en-GB" w:eastAsia="zh-CN"/>
              </w:rPr>
            </w:pPr>
          </w:p>
          <w:p>
            <w:pPr>
              <w:pStyle w:val="4"/>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default" w:eastAsia="宋体"/>
                <w:lang w:val="en-US"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val="en-US" w:eastAsia="zh-CN"/>
              </w:rPr>
              <w:t>体系建立以来未发生</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highlight w:val="none"/>
              </w:rPr>
            </w:pPr>
            <w:r>
              <w:rPr>
                <w:b/>
                <w:bCs/>
                <w:highlight w:val="none"/>
              </w:rPr>
              <w:t>监视和测量的控制</w:t>
            </w:r>
          </w:p>
          <w:p>
            <w:pPr>
              <w:shd w:val="clear" w:color="auto" w:fill="F4B8FF"/>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fill="F4B8FF"/>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fill="F4B8FF"/>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中心温度计、电子秤</w:t>
            </w:r>
            <w:r>
              <w:rPr>
                <w:rFonts w:hint="eastAsia"/>
                <w:highlight w:val="none"/>
                <w:u w:val="single"/>
              </w:rPr>
              <w:t xml:space="preserve">       </w:t>
            </w:r>
            <w:r>
              <w:rPr>
                <w:rFonts w:hint="eastAsia"/>
                <w:highlight w:val="none"/>
              </w:rPr>
              <w:t xml:space="preserve">     （列举1~4种）</w:t>
            </w:r>
          </w:p>
          <w:p>
            <w:pPr>
              <w:shd w:val="clear" w:color="auto" w:fill="F4B8FF"/>
              <w:rPr>
                <w:rFonts w:hint="eastAsia"/>
                <w:highlight w:val="none"/>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370"/>
              <w:gridCol w:w="177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3" w:type="dxa"/>
                </w:tcPr>
                <w:p>
                  <w:r>
                    <w:rPr>
                      <w:rFonts w:hint="eastAsia"/>
                    </w:rPr>
                    <w:t>计量器具名称</w:t>
                  </w:r>
                </w:p>
              </w:tc>
              <w:tc>
                <w:tcPr>
                  <w:tcW w:w="2370" w:type="dxa"/>
                </w:tcPr>
                <w:p>
                  <w:r>
                    <w:rPr>
                      <w:rFonts w:hint="eastAsia"/>
                    </w:rPr>
                    <w:t>检定或校准证书编号</w:t>
                  </w:r>
                </w:p>
              </w:tc>
              <w:tc>
                <w:tcPr>
                  <w:tcW w:w="1777"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3" w:type="dxa"/>
                  <w:vAlign w:val="top"/>
                </w:tcPr>
                <w:p>
                  <w:pPr>
                    <w:rPr>
                      <w:rFonts w:hint="default" w:ascii="Times New Roman" w:hAnsi="Times New Roman" w:eastAsia="宋体" w:cs="Times New Roman"/>
                      <w:color w:val="FF0000"/>
                      <w:kern w:val="2"/>
                      <w:sz w:val="21"/>
                      <w:szCs w:val="24"/>
                      <w:highlight w:val="yellow"/>
                      <w:lang w:val="en-US" w:eastAsia="zh-CN" w:bidi="ar-SA"/>
                    </w:rPr>
                  </w:pPr>
                  <w:r>
                    <w:rPr>
                      <w:rFonts w:hint="eastAsia"/>
                    </w:rPr>
                    <w:t>电子台秤（TCS-150电子台秤）</w:t>
                  </w:r>
                </w:p>
              </w:tc>
              <w:tc>
                <w:tcPr>
                  <w:tcW w:w="2370" w:type="dxa"/>
                  <w:vAlign w:val="top"/>
                </w:tcPr>
                <w:p>
                  <w:pPr>
                    <w:jc w:val="left"/>
                    <w:rPr>
                      <w:rFonts w:hint="default" w:ascii="Times New Roman" w:hAnsi="Times New Roman" w:eastAsia="宋体" w:cs="Times New Roman"/>
                      <w:color w:val="FF0000"/>
                      <w:kern w:val="2"/>
                      <w:sz w:val="21"/>
                      <w:szCs w:val="24"/>
                      <w:highlight w:val="yellow"/>
                      <w:lang w:val="en-US" w:eastAsia="zh-CN" w:bidi="ar-SA"/>
                    </w:rPr>
                  </w:pPr>
                  <w:r>
                    <w:t>50077432</w:t>
                  </w:r>
                </w:p>
              </w:tc>
              <w:tc>
                <w:tcPr>
                  <w:tcW w:w="1777" w:type="dxa"/>
                  <w:vAlign w:val="top"/>
                </w:tcPr>
                <w:p>
                  <w:pPr>
                    <w:rPr>
                      <w:rFonts w:hint="default" w:ascii="Times New Roman" w:hAnsi="Times New Roman" w:eastAsia="宋体" w:cs="Times New Roman"/>
                      <w:color w:val="FF0000"/>
                      <w:kern w:val="2"/>
                      <w:sz w:val="21"/>
                      <w:szCs w:val="24"/>
                      <w:highlight w:val="yellow"/>
                      <w:lang w:val="en-US" w:eastAsia="zh-CN" w:bidi="ar-SA"/>
                    </w:rPr>
                  </w:pPr>
                  <w:r>
                    <w:rPr>
                      <w:rFonts w:hint="eastAsia"/>
                    </w:rPr>
                    <w:t>2022-0</w:t>
                  </w:r>
                  <w:r>
                    <w:t>3</w:t>
                  </w:r>
                  <w:r>
                    <w:rPr>
                      <w:rFonts w:hint="eastAsia"/>
                    </w:rPr>
                    <w:t>-07</w:t>
                  </w:r>
                </w:p>
              </w:tc>
              <w:tc>
                <w:tcPr>
                  <w:tcW w:w="2923" w:type="dxa"/>
                  <w:vAlign w:val="top"/>
                </w:tcPr>
                <w:p>
                  <w:pPr>
                    <w:rPr>
                      <w:rFonts w:hint="default" w:ascii="Times New Roman" w:hAnsi="Times New Roman" w:eastAsia="宋体" w:cs="Times New Roman"/>
                      <w:kern w:val="2"/>
                      <w:sz w:val="21"/>
                      <w:szCs w:val="24"/>
                      <w:highlight w:val="yellow"/>
                      <w:lang w:val="en-US" w:eastAsia="zh-CN" w:bidi="ar-SA"/>
                    </w:rPr>
                  </w:pPr>
                  <w:r>
                    <w:rPr>
                      <w:rFonts w:hint="eastAsia"/>
                    </w:rPr>
                    <w:sym w:font="Wingdings" w:char="00FE"/>
                  </w:r>
                  <w:r>
                    <w:rPr>
                      <w:rFonts w:hint="eastAsia"/>
                    </w:rPr>
                    <w:t xml:space="preserve">配送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1973" w:type="dxa"/>
                  <w:vAlign w:val="top"/>
                </w:tcPr>
                <w:p>
                  <w:pPr>
                    <w:rPr>
                      <w:rFonts w:hint="default" w:ascii="Times New Roman" w:hAnsi="Times New Roman" w:eastAsia="宋体" w:cs="Times New Roman"/>
                      <w:kern w:val="2"/>
                      <w:sz w:val="21"/>
                      <w:szCs w:val="24"/>
                      <w:lang w:val="en-US" w:eastAsia="zh-CN" w:bidi="ar-SA"/>
                    </w:rPr>
                  </w:pPr>
                  <w:r>
                    <w:rPr>
                      <w:rFonts w:hint="eastAsia"/>
                    </w:rPr>
                    <w:t>电子计数秤（A</w:t>
                  </w:r>
                  <w:r>
                    <w:t>CS-6</w:t>
                  </w:r>
                  <w:r>
                    <w:rPr>
                      <w:rFonts w:hint="eastAsia"/>
                    </w:rPr>
                    <w:t>）</w:t>
                  </w:r>
                </w:p>
              </w:tc>
              <w:tc>
                <w:tcPr>
                  <w:tcW w:w="2370" w:type="dxa"/>
                  <w:vAlign w:val="top"/>
                </w:tcPr>
                <w:p>
                  <w:pPr>
                    <w:rPr>
                      <w:rFonts w:hint="default" w:ascii="Times New Roman" w:hAnsi="Times New Roman" w:eastAsia="宋体" w:cs="Times New Roman"/>
                      <w:kern w:val="2"/>
                      <w:sz w:val="21"/>
                      <w:szCs w:val="24"/>
                      <w:lang w:val="en-US" w:eastAsia="zh-CN" w:bidi="ar-SA"/>
                    </w:rPr>
                  </w:pPr>
                  <w:r>
                    <w:rPr>
                      <w:rFonts w:hint="eastAsia"/>
                    </w:rPr>
                    <w:t>5</w:t>
                  </w:r>
                  <w:r>
                    <w:t>0081824-004</w:t>
                  </w:r>
                </w:p>
              </w:tc>
              <w:tc>
                <w:tcPr>
                  <w:tcW w:w="1777" w:type="dxa"/>
                  <w:vAlign w:val="top"/>
                </w:tcPr>
                <w:p>
                  <w:pPr>
                    <w:rPr>
                      <w:rFonts w:hint="default" w:ascii="Times New Roman" w:hAnsi="Times New Roman" w:eastAsia="宋体" w:cs="Times New Roman"/>
                      <w:kern w:val="2"/>
                      <w:sz w:val="21"/>
                      <w:szCs w:val="24"/>
                      <w:lang w:val="en-US" w:eastAsia="zh-CN" w:bidi="ar-SA"/>
                    </w:rPr>
                  </w:pPr>
                  <w:r>
                    <w:rPr>
                      <w:rFonts w:hint="eastAsia"/>
                    </w:rPr>
                    <w:t>2022-0</w:t>
                  </w:r>
                  <w:r>
                    <w:t>5</w:t>
                  </w:r>
                  <w:r>
                    <w:rPr>
                      <w:rFonts w:hint="eastAsia"/>
                    </w:rPr>
                    <w:t>-</w:t>
                  </w:r>
                  <w:r>
                    <w:t>31</w:t>
                  </w:r>
                </w:p>
              </w:tc>
              <w:tc>
                <w:tcPr>
                  <w:tcW w:w="2923" w:type="dxa"/>
                  <w:vAlign w:val="top"/>
                </w:tcPr>
                <w:p>
                  <w:pPr>
                    <w:rPr>
                      <w:rFonts w:ascii="Times New Roman" w:hAnsi="Times New Roman" w:eastAsia="宋体" w:cs="Times New Roman"/>
                      <w:kern w:val="2"/>
                      <w:sz w:val="21"/>
                      <w:szCs w:val="24"/>
                      <w:lang w:val="en-US" w:eastAsia="zh-CN" w:bidi="ar-SA"/>
                    </w:rPr>
                  </w:pPr>
                  <w:r>
                    <w:rPr>
                      <w:rFonts w:hint="eastAsia"/>
                    </w:rPr>
                    <w:sym w:font="Wingdings" w:char="00FE"/>
                  </w:r>
                  <w:r>
                    <w:rPr>
                      <w:rFonts w:hint="eastAsia"/>
                    </w:rPr>
                    <w:t xml:space="preserve">配送 </w:t>
                  </w:r>
                  <w:r>
                    <w:rPr>
                      <w:rFonts w:hint="eastAsia"/>
                    </w:rPr>
                    <w:sym w:font="Wingdings" w:char="00A8"/>
                  </w:r>
                  <w:r>
                    <w:rPr>
                      <w:rFonts w:hint="eastAsia"/>
                    </w:rPr>
                    <w:t>实验室</w:t>
                  </w:r>
                </w:p>
              </w:tc>
            </w:tr>
          </w:tbl>
          <w:p>
            <w:pPr>
              <w:pStyle w:val="2"/>
              <w:ind w:left="0" w:leftChars="0" w:firstLine="0" w:firstLineChars="0"/>
              <w:rPr>
                <w:rFonts w:hint="eastAsia" w:ascii="方正仿宋简体" w:eastAsia="方正仿宋简体"/>
                <w:b/>
                <w:color w:val="FF0000"/>
                <w:highlight w:val="yellow"/>
              </w:rPr>
            </w:pPr>
          </w:p>
          <w:p>
            <w:pPr>
              <w:shd w:val="clear" w:color="auto" w:fill="F4B8FF"/>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rPr>
              <w:t>月</w:t>
            </w:r>
            <w:r>
              <w:rPr>
                <w:rFonts w:hint="eastAsia"/>
                <w:color w:val="0000FF"/>
                <w:szCs w:val="21"/>
                <w:highlight w:val="none"/>
                <w:u w:val="single"/>
                <w:lang w:val="en-US" w:eastAsia="zh-CN"/>
              </w:rPr>
              <w:t xml:space="preserve">15 </w:t>
            </w:r>
            <w:r>
              <w:rPr>
                <w:rFonts w:hint="eastAsia"/>
                <w:color w:val="0000FF"/>
                <w:szCs w:val="21"/>
                <w:highlight w:val="none"/>
              </w:rPr>
              <w:t>日，进行验证了PRP。</w:t>
            </w:r>
          </w:p>
          <w:p>
            <w:pP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u w:val="single"/>
              </w:rPr>
              <w:t xml:space="preserve"> </w:t>
            </w:r>
            <w:r>
              <w:rPr>
                <w:rFonts w:hint="eastAsia"/>
                <w:color w:val="0000FF"/>
                <w:szCs w:val="21"/>
                <w:highlight w:val="none"/>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pacing w:before="40" w:after="40"/>
              <w:rPr>
                <w:szCs w:val="21"/>
              </w:rPr>
            </w:pPr>
            <w:r>
              <w:rPr>
                <w:rFonts w:hint="eastAsia"/>
                <w:szCs w:val="21"/>
              </w:rPr>
              <w:t>启动和实施产品召回计划人员的职责和权限</w:t>
            </w:r>
          </w:p>
          <w:p>
            <w:pPr>
              <w:widowControl/>
              <w:numPr>
                <w:ilvl w:val="0"/>
                <w:numId w:val="8"/>
              </w:numPr>
              <w:spacing w:before="40" w:after="40"/>
              <w:rPr>
                <w:szCs w:val="21"/>
              </w:rPr>
            </w:pPr>
            <w:r>
              <w:rPr>
                <w:rFonts w:hint="eastAsia"/>
                <w:szCs w:val="21"/>
              </w:rPr>
              <w:t>产品召回行动需符合的相关法律、法规和其他相关要求</w:t>
            </w:r>
          </w:p>
          <w:p>
            <w:pPr>
              <w:widowControl/>
              <w:numPr>
                <w:ilvl w:val="0"/>
                <w:numId w:val="8"/>
              </w:numPr>
              <w:spacing w:before="40" w:after="40"/>
              <w:rPr>
                <w:szCs w:val="21"/>
              </w:rPr>
            </w:pPr>
            <w:r>
              <w:rPr>
                <w:rFonts w:hint="eastAsia"/>
                <w:szCs w:val="21"/>
              </w:rPr>
              <w:t>制定并实施受安全危害影响产品的召回措施</w:t>
            </w:r>
          </w:p>
          <w:p>
            <w:pPr>
              <w:widowControl/>
              <w:numPr>
                <w:ilvl w:val="0"/>
                <w:numId w:val="8"/>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highlight w:val="yellow"/>
                <w:u w:val="single"/>
              </w:rPr>
            </w:pPr>
          </w:p>
          <w:p>
            <w:pPr>
              <w:tabs>
                <w:tab w:val="left" w:pos="510"/>
              </w:tabs>
              <w:autoSpaceDE w:val="0"/>
              <w:autoSpaceDN w:val="0"/>
              <w:adjustRightInd w:val="0"/>
              <w:ind w:right="6"/>
              <w:rPr>
                <w:szCs w:val="21"/>
                <w:highlight w:val="none"/>
              </w:rPr>
            </w:pPr>
            <w:r>
              <w:rPr>
                <w:rFonts w:hint="eastAsia"/>
                <w:szCs w:val="21"/>
                <w:highlight w:val="none"/>
              </w:rPr>
              <w:t>召回演练记录：</w:t>
            </w:r>
          </w:p>
          <w:p>
            <w:pPr>
              <w:tabs>
                <w:tab w:val="left" w:pos="510"/>
              </w:tabs>
              <w:autoSpaceDE w:val="0"/>
              <w:autoSpaceDN w:val="0"/>
              <w:adjustRightInd w:val="0"/>
              <w:ind w:right="6"/>
              <w:rPr>
                <w:rFonts w:hint="default" w:eastAsia="宋体"/>
                <w:szCs w:val="21"/>
                <w:highlight w:val="none"/>
                <w:lang w:val="en-US" w:eastAsia="zh-CN"/>
              </w:rPr>
            </w:pPr>
            <w:r>
              <w:rPr>
                <w:rFonts w:hint="eastAsia"/>
                <w:szCs w:val="21"/>
                <w:highlight w:val="none"/>
                <w:u w:val="single"/>
              </w:rPr>
              <w:t xml:space="preserve">    </w:t>
            </w:r>
            <w:r>
              <w:rPr>
                <w:rFonts w:hint="eastAsia"/>
                <w:szCs w:val="21"/>
                <w:highlight w:val="none"/>
                <w:u w:val="single"/>
                <w:lang w:val="en-US" w:eastAsia="zh-CN"/>
              </w:rPr>
              <w:t>2021</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8</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15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 xml:space="preserve"> 大米霉变（模拟）</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2021-01-05</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FE"/>
            </w:r>
            <w:r>
              <w:rPr>
                <w:rFonts w:hint="eastAsia"/>
                <w:szCs w:val="21"/>
                <w:highlight w:val="none"/>
                <w:u w:val="single"/>
              </w:rPr>
              <w:t xml:space="preserve">良好/  </w:t>
            </w:r>
            <w:r>
              <w:rPr>
                <w:rFonts w:hint="eastAsia"/>
                <w:highlight w:val="none"/>
              </w:rPr>
              <w:sym w:font="Wingdings" w:char="00A8"/>
            </w:r>
            <w:r>
              <w:rPr>
                <w:rFonts w:hint="eastAsia"/>
                <w:szCs w:val="21"/>
                <w:highlight w:val="none"/>
                <w:u w:val="single"/>
              </w:rPr>
              <w:t xml:space="preserve">欠佳    </w:t>
            </w:r>
            <w:r>
              <w:rPr>
                <w:rFonts w:hint="eastAsia"/>
                <w:szCs w:val="21"/>
                <w:highlight w:val="none"/>
                <w:u w:val="single"/>
                <w:lang w:val="en-US" w:eastAsia="zh-CN"/>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 xml:space="preserve">10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月</w:t>
            </w:r>
            <w:r>
              <w:rPr>
                <w:rFonts w:hint="eastAsia"/>
                <w:u w:val="single"/>
                <w:lang w:val="en-US" w:eastAsia="zh-CN"/>
              </w:rPr>
              <w:t xml:space="preserve">15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hd w:val="clear" w:color="auto" w:fill="F4B8FF"/>
      </w:pPr>
    </w:p>
    <w:p>
      <w:pPr>
        <w:pStyle w:val="14"/>
      </w:pPr>
    </w:p>
    <w:p>
      <w:pPr>
        <w:pStyle w:val="14"/>
      </w:pPr>
    </w:p>
    <w:tbl>
      <w:tblPr>
        <w:tblStyle w:val="10"/>
        <w:tblW w:w="10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48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eastAsia" w:eastAsia="宋体"/>
                <w:lang w:val="en-US" w:eastAsia="zh-CN"/>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48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48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48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48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48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48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48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48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353F8"/>
    <w:multiLevelType w:val="singleLevel"/>
    <w:tmpl w:val="911353F8"/>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EB593B1B"/>
    <w:multiLevelType w:val="singleLevel"/>
    <w:tmpl w:val="EB593B1B"/>
    <w:lvl w:ilvl="0" w:tentative="0">
      <w:start w:val="1"/>
      <w:numFmt w:val="decimal"/>
      <w:suff w:val="space"/>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AC997B"/>
    <w:multiLevelType w:val="singleLevel"/>
    <w:tmpl w:val="2EAC997B"/>
    <w:lvl w:ilvl="0" w:tentative="0">
      <w:start w:val="1"/>
      <w:numFmt w:val="decimal"/>
      <w:suff w:val="space"/>
      <w:lvlText w:val="%1."/>
      <w:lvlJc w:val="left"/>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2F7AB9"/>
    <w:rsid w:val="151B435F"/>
    <w:rsid w:val="62B27E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2022-02-25T04:30:22Z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