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50"/>
        <w:gridCol w:w="24"/>
        <w:gridCol w:w="936"/>
        <w:gridCol w:w="745"/>
        <w:gridCol w:w="9255"/>
        <w:gridCol w:w="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15" w:hRule="atLeast"/>
        </w:trPr>
        <w:tc>
          <w:tcPr>
            <w:tcW w:w="2174" w:type="dxa"/>
            <w:gridSpan w:val="2"/>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000" w:type="dxa"/>
            <w:gridSpan w:val="2"/>
            <w:vAlign w:val="center"/>
          </w:tcPr>
          <w:p>
            <w:pPr>
              <w:rPr>
                <w:sz w:val="24"/>
                <w:szCs w:val="24"/>
              </w:rPr>
            </w:pPr>
            <w:r>
              <w:rPr>
                <w:sz w:val="24"/>
                <w:szCs w:val="24"/>
              </w:rPr>
              <w:t xml:space="preserve">受审核部门： 食品安全小组    </w:t>
            </w:r>
            <w:r>
              <w:rPr>
                <w:rFonts w:hint="eastAsia"/>
                <w:sz w:val="24"/>
                <w:szCs w:val="24"/>
              </w:rPr>
              <w:t xml:space="preserve">主管领导：聂勇 </w:t>
            </w:r>
            <w:r>
              <w:rPr>
                <w:sz w:val="24"/>
                <w:szCs w:val="24"/>
              </w:rPr>
              <w:t xml:space="preserve">  </w:t>
            </w:r>
            <w:r>
              <w:rPr>
                <w:color w:val="000000"/>
                <w:sz w:val="24"/>
                <w:szCs w:val="24"/>
              </w:rPr>
              <w:t xml:space="preserve">  陪同人员：</w:t>
            </w:r>
            <w:r>
              <w:rPr>
                <w:rFonts w:hint="eastAsia"/>
                <w:color w:val="000000"/>
                <w:sz w:val="24"/>
                <w:szCs w:val="24"/>
                <w:lang w:val="en-US" w:eastAsia="zh-CN"/>
              </w:rPr>
              <w:t>戈敏</w:t>
            </w:r>
            <w:r>
              <w:rPr>
                <w:color w:val="000000"/>
                <w:sz w:val="24"/>
                <w:szCs w:val="24"/>
              </w:rPr>
              <w:t xml:space="preserve"> </w:t>
            </w:r>
          </w:p>
        </w:tc>
        <w:tc>
          <w:tcPr>
            <w:tcW w:w="1590" w:type="dxa"/>
            <w:gridSpan w:val="2"/>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03" w:hRule="atLeast"/>
        </w:trPr>
        <w:tc>
          <w:tcPr>
            <w:tcW w:w="2174" w:type="dxa"/>
            <w:gridSpan w:val="2"/>
            <w:vMerge w:val="continue"/>
            <w:vAlign w:val="center"/>
          </w:tcPr>
          <w:p/>
        </w:tc>
        <w:tc>
          <w:tcPr>
            <w:tcW w:w="936" w:type="dxa"/>
            <w:vMerge w:val="continue"/>
            <w:vAlign w:val="center"/>
          </w:tcPr>
          <w:p/>
        </w:tc>
        <w:tc>
          <w:tcPr>
            <w:tcW w:w="10000" w:type="dxa"/>
            <w:gridSpan w:val="2"/>
            <w:vAlign w:val="center"/>
          </w:tcPr>
          <w:p>
            <w:pPr>
              <w:spacing w:before="120"/>
              <w:rPr>
                <w:rFonts w:hint="default" w:eastAsia="宋体"/>
                <w:lang w:val="en-US" w:eastAsia="zh-CN"/>
              </w:rPr>
            </w:pPr>
            <w:r>
              <w:rPr>
                <w:sz w:val="24"/>
                <w:szCs w:val="24"/>
              </w:rPr>
              <w:t>审核员： 肖新龙</w:t>
            </w:r>
            <w:r>
              <w:rPr>
                <w:rFonts w:hint="eastAsia"/>
                <w:sz w:val="24"/>
                <w:szCs w:val="24"/>
                <w:lang w:val="en-US" w:eastAsia="zh-CN"/>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sz w:val="24"/>
                <w:szCs w:val="24"/>
              </w:rPr>
              <w:t xml:space="preserve">   审核日期：202</w:t>
            </w:r>
            <w:r>
              <w:rPr>
                <w:rFonts w:hint="eastAsia"/>
                <w:sz w:val="24"/>
                <w:szCs w:val="24"/>
                <w:lang w:val="en-US" w:eastAsia="zh-CN"/>
              </w:rPr>
              <w:t>2-02-19</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16" w:hRule="atLeast"/>
        </w:trPr>
        <w:tc>
          <w:tcPr>
            <w:tcW w:w="2174" w:type="dxa"/>
            <w:gridSpan w:val="2"/>
            <w:vMerge w:val="continue"/>
            <w:vAlign w:val="center"/>
          </w:tcPr>
          <w:p/>
        </w:tc>
        <w:tc>
          <w:tcPr>
            <w:tcW w:w="936" w:type="dxa"/>
            <w:vMerge w:val="continue"/>
            <w:vAlign w:val="center"/>
          </w:tcPr>
          <w:p/>
        </w:tc>
        <w:tc>
          <w:tcPr>
            <w:tcW w:w="10000" w:type="dxa"/>
            <w:gridSpan w:val="2"/>
            <w:vAlign w:val="center"/>
          </w:tcPr>
          <w:p>
            <w:pPr>
              <w:tabs>
                <w:tab w:val="left" w:pos="6030"/>
              </w:tabs>
              <w:autoSpaceDE w:val="0"/>
              <w:autoSpaceDN w:val="0"/>
              <w:adjustRightInd w:val="0"/>
              <w:jc w:val="left"/>
            </w:pPr>
            <w:r>
              <w:t>审核条款：FSMS:5.3/</w:t>
            </w:r>
            <w:r>
              <w:rPr>
                <w:rFonts w:hint="eastAsia"/>
                <w:lang w:val="en-US" w:eastAsia="zh-CN"/>
              </w:rPr>
              <w:t>7.1.5/</w:t>
            </w:r>
            <w:r>
              <w:t>8.1/8.2/8.3/8.4/8.5/8.6/8.8/9.1.2</w:t>
            </w:r>
            <w:r>
              <w:rPr>
                <w:rFonts w:hint="eastAsia"/>
              </w:rPr>
              <w:t xml:space="preserve">  </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54" w:hRule="atLeast"/>
        </w:trPr>
        <w:tc>
          <w:tcPr>
            <w:tcW w:w="2174" w:type="dxa"/>
            <w:gridSpan w:val="2"/>
            <w:vMerge w:val="restart"/>
          </w:tcPr>
          <w:p>
            <w:r>
              <w:t>组织的角色、职责和权限</w:t>
            </w:r>
          </w:p>
        </w:tc>
        <w:tc>
          <w:tcPr>
            <w:tcW w:w="936" w:type="dxa"/>
            <w:vMerge w:val="restart"/>
          </w:tcPr>
          <w:p>
            <w:r>
              <w:t>F5.3</w:t>
            </w:r>
          </w:p>
        </w:tc>
        <w:tc>
          <w:tcPr>
            <w:tcW w:w="745" w:type="dxa"/>
          </w:tcPr>
          <w:p>
            <w:r>
              <w:t>文件名称</w:t>
            </w:r>
          </w:p>
        </w:tc>
        <w:tc>
          <w:tcPr>
            <w:tcW w:w="9255" w:type="dxa"/>
          </w:tcPr>
          <w:p>
            <w:r>
              <w:t>如：管理手册第5.3章</w:t>
            </w:r>
          </w:p>
        </w:tc>
        <w:tc>
          <w:tcPr>
            <w:tcW w:w="1590" w:type="dxa"/>
            <w:gridSpan w:val="2"/>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2900" w:hRule="atLeast"/>
        </w:trPr>
        <w:tc>
          <w:tcPr>
            <w:tcW w:w="2174" w:type="dxa"/>
            <w:gridSpan w:val="2"/>
            <w:vMerge w:val="continue"/>
          </w:tcPr>
          <w:p/>
        </w:tc>
        <w:tc>
          <w:tcPr>
            <w:tcW w:w="936" w:type="dxa"/>
            <w:vMerge w:val="continue"/>
          </w:tcPr>
          <w:p/>
        </w:tc>
        <w:tc>
          <w:tcPr>
            <w:tcW w:w="745" w:type="dxa"/>
          </w:tcPr>
          <w:p>
            <w:r>
              <w:t>运行证据</w:t>
            </w:r>
          </w:p>
        </w:tc>
        <w:tc>
          <w:tcPr>
            <w:tcW w:w="9255" w:type="dxa"/>
          </w:tcPr>
          <w:p>
            <w:r>
              <w:t>有食品安全小组名单，包括了</w:t>
            </w:r>
            <w:r>
              <w:rPr>
                <w:rFonts w:hint="eastAsia"/>
              </w:rPr>
              <w:t xml:space="preserve"> </w:t>
            </w:r>
            <w:r>
              <w:rPr>
                <w:bCs/>
                <w:u w:val="single"/>
              </w:rPr>
              <w:t>综合</w:t>
            </w:r>
            <w:r>
              <w:rPr>
                <w:rFonts w:hint="eastAsia"/>
                <w:bCs/>
                <w:u w:val="single"/>
                <w:lang w:val="en-US" w:eastAsia="zh-CN"/>
              </w:rPr>
              <w:t>办</w:t>
            </w:r>
            <w:r>
              <w:rPr>
                <w:bCs/>
                <w:u w:val="single"/>
              </w:rPr>
              <w:t>、</w:t>
            </w:r>
            <w:r>
              <w:rPr>
                <w:rFonts w:hint="eastAsia"/>
                <w:bCs/>
                <w:u w:val="single"/>
              </w:rPr>
              <w:t>市场部、品</w:t>
            </w:r>
            <w:r>
              <w:rPr>
                <w:rFonts w:hint="eastAsia"/>
                <w:bCs/>
                <w:u w:val="single"/>
                <w:lang w:val="en-US" w:eastAsia="zh-CN"/>
              </w:rPr>
              <w:t>控</w:t>
            </w:r>
            <w:r>
              <w:rPr>
                <w:rFonts w:hint="eastAsia"/>
                <w:bCs/>
                <w:u w:val="single"/>
              </w:rPr>
              <w:t xml:space="preserve">部 </w:t>
            </w:r>
            <w:r>
              <w:t>的人员</w:t>
            </w:r>
          </w:p>
          <w:p>
            <w:r>
              <w:t>公司在手册和《</w:t>
            </w:r>
            <w:r>
              <w:rPr>
                <w:rFonts w:hint="eastAsia"/>
                <w:lang w:val="en-US" w:eastAsia="zh-CN"/>
              </w:rPr>
              <w:t>危害控制</w:t>
            </w:r>
            <w:r>
              <w:t>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lang w:val="en-US" w:eastAsia="zh-CN"/>
              </w:rPr>
              <w:t xml:space="preserve"> </w:t>
            </w:r>
            <w:r>
              <w:rPr>
                <w:rFonts w:hint="eastAsia" w:ascii="宋体" w:hAnsi="宋体"/>
                <w:szCs w:val="21"/>
                <w:u w:val="single"/>
              </w:rPr>
              <w:t>戈敏</w:t>
            </w:r>
            <w:r>
              <w:rPr>
                <w:rFonts w:hint="eastAsia" w:ascii="宋体" w:hAnsi="宋体"/>
                <w:szCs w:val="21"/>
                <w:u w:val="single"/>
                <w:lang w:val="en-US" w:eastAsia="zh-CN"/>
              </w:rPr>
              <w:t xml:space="preserve"> </w:t>
            </w:r>
            <w:r>
              <w:t>，基本清楚。</w:t>
            </w:r>
          </w:p>
          <w:p>
            <w:pPr>
              <w:pStyle w:val="10"/>
              <w:rPr>
                <w:rFonts w:ascii="Times New Roman" w:hAnsi="Times New Roman"/>
              </w:rPr>
            </w:pPr>
          </w:p>
          <w:p>
            <w:pPr>
              <w:rPr>
                <w:rFonts w:hint="eastAsia" w:eastAsia="宋体"/>
                <w:lang w:eastAsia="zh-CN"/>
              </w:rPr>
            </w:pPr>
            <w:r>
              <w:fldChar w:fldCharType="begin"/>
            </w:r>
            <w:r>
              <w:instrText xml:space="preserve"> eq \o\ac(□,√)</w:instrText>
            </w:r>
            <w:r>
              <w:fldChar w:fldCharType="end"/>
            </w:r>
            <w:r>
              <w:rPr>
                <w:rFonts w:hint="eastAsia"/>
                <w:lang w:val="en-US" w:eastAsia="zh-CN"/>
              </w:rPr>
              <w:t>食品安全小组</w:t>
            </w:r>
            <w:r>
              <w:t>组长：</w:t>
            </w:r>
            <w:r>
              <w:rPr>
                <w:u w:val="single"/>
              </w:rPr>
              <w:t xml:space="preserve">  </w:t>
            </w:r>
            <w:r>
              <w:rPr>
                <w:rFonts w:hint="eastAsia"/>
                <w:szCs w:val="21"/>
                <w:u w:val="single"/>
              </w:rPr>
              <w:t>聂勇</w:t>
            </w:r>
            <w:r>
              <w:rPr>
                <w:sz w:val="24"/>
                <w:szCs w:val="24"/>
                <w:u w:val="single"/>
              </w:rPr>
              <w:t xml:space="preserve"> </w:t>
            </w:r>
            <w:r>
              <w:rPr>
                <w:u w:val="single"/>
              </w:rPr>
              <w:t xml:space="preserve"> 先生 </w:t>
            </w:r>
            <w:r>
              <w:rPr>
                <w:rFonts w:hint="eastAsia"/>
                <w:u w:val="single"/>
                <w:lang w:eastAsia="zh-CN"/>
              </w:rP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外</w:t>
            </w:r>
            <w:r>
              <w:t>部开</w:t>
            </w:r>
            <w:r>
              <w:rPr>
                <w:rFonts w:hint="eastAsia"/>
              </w:rPr>
              <w:t>发</w:t>
            </w:r>
            <w:r>
              <w:t>的</w:t>
            </w:r>
            <w:r>
              <w:rPr>
                <w:rFonts w:hint="eastAsia"/>
              </w:rPr>
              <w:t>食</w:t>
            </w:r>
            <w:r>
              <w:t>品安全</w:t>
            </w:r>
            <w:r>
              <w:rPr>
                <w:rFonts w:hint="eastAsia"/>
              </w:rPr>
              <w:t>管</w:t>
            </w:r>
            <w:r>
              <w:t>理要</w:t>
            </w:r>
            <w:r>
              <w:rPr>
                <w:rFonts w:hint="eastAsia"/>
              </w:rPr>
              <w:t>素</w:t>
            </w:r>
          </w:p>
        </w:tc>
        <w:tc>
          <w:tcPr>
            <w:tcW w:w="960" w:type="dxa"/>
            <w:gridSpan w:val="2"/>
            <w:vMerge w:val="restart"/>
          </w:tcPr>
          <w:p>
            <w:r>
              <w:t>F7.1</w:t>
            </w:r>
            <w:r>
              <w:rPr>
                <w:rFonts w:hint="eastAsia"/>
              </w:rPr>
              <w:t>.5</w:t>
            </w:r>
          </w:p>
        </w:tc>
        <w:tc>
          <w:tcPr>
            <w:tcW w:w="745" w:type="dxa"/>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w:t>
            </w:r>
            <w:r>
              <w:rPr>
                <w:rFonts w:hint="eastAsia"/>
              </w:rPr>
              <w:t>手册第</w:t>
            </w:r>
            <w:r>
              <w:rPr>
                <w:rFonts w:hint="eastAsia"/>
                <w:color w:val="000000"/>
                <w:szCs w:val="21"/>
              </w:rPr>
              <w:t>7.1.5</w:t>
            </w:r>
            <w:r>
              <w:rPr>
                <w:rFonts w:hint="eastAsia"/>
              </w:rPr>
              <w:t>条款</w:t>
            </w:r>
          </w:p>
        </w:tc>
        <w:tc>
          <w:tcPr>
            <w:tcW w:w="1589" w:type="dxa"/>
            <w:vMerge w:val="restart"/>
          </w:tcPr>
          <w:p>
            <w:r>
              <w:rPr/>
              <w:sym w:font="Wingdings" w:char="00FE"/>
            </w:r>
            <w:r>
              <w:rPr>
                <w:rFonts w:hint="eastAsia"/>
              </w:rPr>
              <w:t>符合</w:t>
            </w:r>
          </w:p>
          <w:p>
            <w:pPr>
              <w:rPr>
                <w:highlight w:val="cya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gridSpan w:val="2"/>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9" w:type="dxa"/>
            <w:vMerge w:val="continue"/>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8" w:hRule="atLeast"/>
        </w:trPr>
        <w:tc>
          <w:tcPr>
            <w:tcW w:w="2174" w:type="dxa"/>
            <w:gridSpan w:val="2"/>
            <w:vMerge w:val="restart"/>
            <w:shd w:val="clear" w:color="auto" w:fill="auto"/>
          </w:tcPr>
          <w:p>
            <w:r>
              <w:t>运行策划和控制</w:t>
            </w:r>
          </w:p>
        </w:tc>
        <w:tc>
          <w:tcPr>
            <w:tcW w:w="936" w:type="dxa"/>
            <w:vMerge w:val="restart"/>
            <w:shd w:val="clear" w:color="auto" w:fill="auto"/>
          </w:tcPr>
          <w:p>
            <w:r>
              <w:t>F8.1</w:t>
            </w:r>
          </w:p>
          <w:p/>
        </w:tc>
        <w:tc>
          <w:tcPr>
            <w:tcW w:w="745" w:type="dxa"/>
            <w:shd w:val="clear" w:color="auto" w:fill="auto"/>
          </w:tcPr>
          <w:p>
            <w:r>
              <w:t>文件名称</w:t>
            </w:r>
          </w:p>
        </w:tc>
        <w:tc>
          <w:tcPr>
            <w:tcW w:w="9255"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1590" w:type="dxa"/>
            <w:gridSpan w:val="2"/>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874"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rPr>
                <w:rFonts w:hint="eastAsia"/>
                <w:lang w:val="en-US" w:eastAsia="zh-CN"/>
              </w:rPr>
              <w:t>危害控制计划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8" w:hRule="atLeast"/>
        </w:trPr>
        <w:tc>
          <w:tcPr>
            <w:tcW w:w="2174" w:type="dxa"/>
            <w:gridSpan w:val="2"/>
            <w:vMerge w:val="restart"/>
          </w:tcPr>
          <w:p>
            <w:r>
              <w:t>前提方案（PRP）</w:t>
            </w:r>
          </w:p>
        </w:tc>
        <w:tc>
          <w:tcPr>
            <w:tcW w:w="936" w:type="dxa"/>
            <w:vMerge w:val="restart"/>
          </w:tcPr>
          <w:p>
            <w:r>
              <w:t>F8.2</w:t>
            </w:r>
          </w:p>
        </w:tc>
        <w:tc>
          <w:tcPr>
            <w:tcW w:w="745" w:type="dxa"/>
          </w:tcPr>
          <w:p>
            <w:r>
              <w:t>文件名称</w:t>
            </w:r>
          </w:p>
        </w:tc>
        <w:tc>
          <w:tcPr>
            <w:tcW w:w="9255" w:type="dxa"/>
          </w:tcPr>
          <w:p>
            <w:r>
              <w:t>如：</w:t>
            </w:r>
            <w:r>
              <w:fldChar w:fldCharType="begin"/>
            </w:r>
            <w:r>
              <w:instrText xml:space="preserve"> eq \o\ac(□,√)</w:instrText>
            </w:r>
            <w:r>
              <w:fldChar w:fldCharType="end"/>
            </w:r>
            <w:r>
              <w:t>《前提方案》</w:t>
            </w:r>
          </w:p>
        </w:tc>
        <w:tc>
          <w:tcPr>
            <w:tcW w:w="1590" w:type="dxa"/>
            <w:gridSpan w:val="2"/>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4" w:type="dxa"/>
            <w:gridSpan w:val="2"/>
            <w:vMerge w:val="continue"/>
          </w:tcPr>
          <w:p/>
        </w:tc>
        <w:tc>
          <w:tcPr>
            <w:tcW w:w="936" w:type="dxa"/>
            <w:vMerge w:val="continue"/>
          </w:tcPr>
          <w:p/>
        </w:tc>
        <w:tc>
          <w:tcPr>
            <w:tcW w:w="745" w:type="dxa"/>
          </w:tcPr>
          <w:p>
            <w:r>
              <w:t>运行证据</w:t>
            </w:r>
          </w:p>
        </w:tc>
        <w:tc>
          <w:tcPr>
            <w:tcW w:w="9255"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2020 年11月 15 日  </w:t>
            </w:r>
            <w:r>
              <w:rPr>
                <w:rFonts w:hint="eastAsia"/>
                <w:u w:val="single"/>
                <w:lang w:eastAsia="zh-CN"/>
              </w:rPr>
              <w:t>（</w:t>
            </w:r>
            <w:r>
              <w:rPr>
                <w:rFonts w:hint="eastAsia"/>
                <w:u w:val="single"/>
                <w:lang w:val="en-US" w:eastAsia="zh-CN"/>
              </w:rPr>
              <w:t>审核周期内未发生变化</w:t>
            </w:r>
            <w:r>
              <w:rPr>
                <w:rFonts w:hint="eastAsia"/>
                <w:u w:val="single"/>
                <w:lang w:eastAsia="zh-CN"/>
              </w:rPr>
              <w:t>）</w:t>
            </w:r>
            <w:r>
              <w:rPr>
                <w:u w:val="single"/>
              </w:rPr>
              <w:t xml:space="preserve">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ind w:left="0"/>
              <w:rPr>
                <w:rFonts w:ascii="Times New Roman" w:hAnsi="Times New Roman"/>
                <w:szCs w:val="22"/>
                <w:lang w:val="en-GB"/>
              </w:rPr>
            </w:pPr>
            <w:r>
              <w:rPr>
                <w:rFonts w:ascii="Times New Roman" w:hAnsi="Times New Roman"/>
              </w:rPr>
              <w:sym w:font="Wingdings" w:char="00FE"/>
            </w:r>
            <w:r>
              <w:rPr>
                <w:rFonts w:hint="eastAsia" w:ascii="Times New Roman" w:hAnsi="Times New Roman"/>
                <w:szCs w:val="22"/>
                <w:lang w:val="en-GB"/>
              </w:rPr>
              <w:t>T</w:t>
            </w:r>
            <w:r>
              <w:rPr>
                <w:rFonts w:hint="eastAsia" w:ascii="Times New Roman" w:hAnsi="Times New Roman"/>
                <w:szCs w:val="22"/>
                <w:lang w:val="en-US" w:eastAsia="zh-CN"/>
              </w:rPr>
              <w:t>/</w:t>
            </w:r>
            <w:r>
              <w:rPr>
                <w:rFonts w:hint="eastAsia" w:ascii="Times New Roman" w:hAnsi="Times New Roman"/>
                <w:szCs w:val="22"/>
                <w:lang w:val="en-GB"/>
              </w:rPr>
              <w:t xml:space="preserve">CCAA 29-2016 </w:t>
            </w:r>
            <w:r>
              <w:rPr>
                <w:rFonts w:hint="eastAsia" w:ascii="Times New Roman" w:hAnsi="Times New Roman"/>
                <w:szCs w:val="22"/>
                <w:lang w:val="en-GB" w:eastAsia="zh-CN"/>
              </w:rPr>
              <w:t>《</w:t>
            </w:r>
            <w:r>
              <w:rPr>
                <w:rFonts w:hint="eastAsia" w:ascii="Times New Roman" w:hAnsi="Times New Roman"/>
                <w:szCs w:val="22"/>
                <w:lang w:val="en-GB"/>
              </w:rPr>
              <w:t>食品安全管理体系 食品批发和零售企业要求</w:t>
            </w:r>
            <w:r>
              <w:rPr>
                <w:rFonts w:hint="eastAsia" w:ascii="Times New Roman" w:hAnsi="Times New Roman"/>
                <w:szCs w:val="22"/>
                <w:lang w:val="en-GB" w:eastAsia="zh-CN"/>
              </w:rPr>
              <w:t>》</w:t>
            </w:r>
          </w:p>
          <w:p>
            <w:pPr>
              <w:pStyle w:val="10"/>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lang w:val="en-US" w:eastAsia="zh-CN"/>
              </w:rPr>
            </w:pPr>
            <w:r>
              <w:rPr/>
              <w:sym w:font="Wingdings" w:char="00FE"/>
            </w:r>
            <w:r>
              <w:t>顾客要求：</w:t>
            </w:r>
            <w:r>
              <w:rPr>
                <w:rFonts w:hint="eastAsia"/>
              </w:rPr>
              <w:t>预包装食品符合食品</w:t>
            </w:r>
            <w:r>
              <w:t>安全</w:t>
            </w:r>
            <w:r>
              <w:rPr>
                <w:rFonts w:hint="eastAsia"/>
              </w:rPr>
              <w:t>要求、运输车辆干净卫生</w:t>
            </w:r>
            <w:r>
              <w:rPr>
                <w:rFonts w:hint="eastAsia"/>
                <w:lang w:eastAsia="zh-CN"/>
              </w:rPr>
              <w:t>、</w:t>
            </w:r>
            <w:r>
              <w:rPr>
                <w:rFonts w:hint="eastAsia"/>
                <w:lang w:val="en-US" w:eastAsia="zh-CN"/>
              </w:rPr>
              <w:t>冷冻冷藏品温度符合要求</w:t>
            </w:r>
          </w:p>
          <w:p>
            <w:r>
              <w:t>3）适用法典和指南。</w:t>
            </w:r>
          </w:p>
          <w:p>
            <w:pPr>
              <w:rPr>
                <w:highlight w:val="cyan"/>
              </w:rPr>
            </w:pPr>
            <w:r>
              <w:t xml:space="preserve">  无</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9255"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《HACCP计划》</w:t>
            </w:r>
          </w:p>
        </w:tc>
        <w:tc>
          <w:tcPr>
            <w:tcW w:w="1590" w:type="dxa"/>
            <w:gridSpan w:val="2"/>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410"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default" w:eastAsia="宋体"/>
                <w:u w:val="single"/>
                <w:lang w:val="en-US" w:eastAsia="zh-CN"/>
              </w:rPr>
            </w:pPr>
            <w:r>
              <w:t>原材料：</w:t>
            </w:r>
            <w:r>
              <w:rPr>
                <w:u w:val="single"/>
              </w:rPr>
              <w:t xml:space="preserve">   </w:t>
            </w:r>
            <w:r>
              <w:rPr>
                <w:rFonts w:hint="eastAsia"/>
                <w:u w:val="single"/>
              </w:rPr>
              <w:t>粮油类、调味料、非发酵豆制品、水产（冻品）、畜肉（冻品）</w:t>
            </w:r>
            <w:r>
              <w:rPr>
                <w:rFonts w:hint="eastAsia"/>
                <w:u w:val="single"/>
                <w:lang w:eastAsia="zh-CN"/>
              </w:rPr>
              <w:t>、</w:t>
            </w:r>
            <w:r>
              <w:rPr>
                <w:rFonts w:hint="eastAsia"/>
                <w:u w:val="single"/>
                <w:lang w:val="en-US" w:eastAsia="zh-CN"/>
              </w:rPr>
              <w:t>酸奶</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bCs/>
              </w:rPr>
            </w:pPr>
            <w:r>
              <w:rPr>
                <w:b/>
                <w:lang w:val="en-GB"/>
              </w:rPr>
              <w:t>最终产品《特性</w:t>
            </w:r>
            <w:r>
              <w:rPr>
                <w:b/>
              </w:rPr>
              <w:t>描述</w:t>
            </w:r>
            <w:r>
              <w:rPr>
                <w:b/>
                <w:lang w:val="en-GB"/>
              </w:rPr>
              <w:t>》</w:t>
            </w:r>
            <w:r>
              <w:rPr>
                <w:b/>
              </w:rPr>
              <w:t>：</w:t>
            </w:r>
            <w:r>
              <w:rPr>
                <w:u w:val="single"/>
              </w:rPr>
              <w:t xml:space="preserve"> </w:t>
            </w:r>
            <w:r>
              <w:rPr>
                <w:rFonts w:hint="eastAsia"/>
                <w:u w:val="single"/>
              </w:rPr>
              <w:t>粮油类、调味料、非发酵豆制品、水产（冻品）、畜肉（冻品）</w:t>
            </w:r>
            <w:r>
              <w:rPr>
                <w:rFonts w:hint="eastAsia"/>
                <w:u w:val="single"/>
                <w:lang w:eastAsia="zh-CN"/>
              </w:rPr>
              <w:t>、</w:t>
            </w:r>
            <w:r>
              <w:rPr>
                <w:rFonts w:hint="eastAsia"/>
                <w:u w:val="single"/>
                <w:lang w:val="en-US" w:eastAsia="zh-CN"/>
              </w:rPr>
              <w:t>酸奶等</w:t>
            </w: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rFonts w:hint="eastAsia"/>
                <w:u w:val="single"/>
                <w:lang w:val="en-US" w:eastAsia="zh-CN"/>
              </w:rPr>
            </w:pPr>
            <w:r>
              <w:t>组织确定了最终产品的预期用途，为</w:t>
            </w:r>
            <w:r>
              <w:rPr>
                <w:u w:val="single"/>
              </w:rPr>
              <w:t xml:space="preserve">  </w:t>
            </w:r>
            <w:r>
              <w:rPr>
                <w:rFonts w:hint="eastAsia"/>
                <w:u w:val="single"/>
              </w:rPr>
              <w:t>学校、部队、机关食堂等供</w:t>
            </w:r>
            <w:r>
              <w:rPr>
                <w:rFonts w:hint="eastAsia"/>
                <w:u w:val="single"/>
                <w:lang w:val="en-US" w:eastAsia="zh-CN"/>
              </w:rPr>
              <w:t>原料食材</w:t>
            </w:r>
          </w:p>
          <w:p>
            <w:pPr>
              <w:pStyle w:val="10"/>
              <w:rPr>
                <w:rFonts w:hint="eastAsia"/>
                <w:lang w:eastAsia="zh-CN"/>
              </w:rPr>
            </w:pPr>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pPr>
            <w:r>
              <w:rPr>
                <w:lang w:val="en-GB"/>
              </w:rPr>
              <w:t>HACCP小组</w:t>
            </w:r>
            <w:r>
              <w:t>于</w:t>
            </w:r>
            <w:r>
              <w:rPr>
                <w:color w:val="0000FF"/>
                <w:szCs w:val="21"/>
                <w:u w:val="single"/>
              </w:rPr>
              <w:t xml:space="preserve"> </w:t>
            </w:r>
            <w:r>
              <w:rPr>
                <w:szCs w:val="21"/>
                <w:u w:val="single"/>
              </w:rPr>
              <w:t xml:space="preserve">  202</w:t>
            </w:r>
            <w:r>
              <w:rPr>
                <w:rFonts w:hint="eastAsia"/>
                <w:szCs w:val="21"/>
                <w:u w:val="single"/>
                <w:lang w:val="en-US" w:eastAsia="zh-CN"/>
              </w:rPr>
              <w:t>1</w:t>
            </w:r>
            <w:r>
              <w:rPr>
                <w:szCs w:val="21"/>
                <w:u w:val="single"/>
              </w:rPr>
              <w:t xml:space="preserve">  </w:t>
            </w:r>
            <w:r>
              <w:rPr>
                <w:szCs w:val="21"/>
              </w:rPr>
              <w:t>年</w:t>
            </w:r>
            <w:r>
              <w:rPr>
                <w:szCs w:val="21"/>
                <w:u w:val="single"/>
              </w:rPr>
              <w:t xml:space="preserve"> 11</w:t>
            </w:r>
            <w:r>
              <w:rPr>
                <w:szCs w:val="21"/>
              </w:rPr>
              <w:t>月</w:t>
            </w:r>
            <w:r>
              <w:rPr>
                <w:szCs w:val="21"/>
                <w:u w:val="single"/>
              </w:rPr>
              <w:t xml:space="preserve">  15  </w:t>
            </w:r>
            <w:r>
              <w:rPr>
                <w:szCs w:val="21"/>
              </w:rPr>
              <w:t>日</w:t>
            </w:r>
            <w:r>
              <w:t>在现场确认了流程图的准确性。</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33" w:hRule="atLeast"/>
        </w:trPr>
        <w:tc>
          <w:tcPr>
            <w:tcW w:w="2174" w:type="dxa"/>
            <w:gridSpan w:val="2"/>
            <w:vMerge w:val="continue"/>
            <w:shd w:val="clear" w:color="auto" w:fill="auto"/>
          </w:tcPr>
          <w:p/>
        </w:tc>
        <w:tc>
          <w:tcPr>
            <w:tcW w:w="936" w:type="dxa"/>
            <w:shd w:val="clear" w:color="auto" w:fill="auto"/>
          </w:tcPr>
          <w:p/>
        </w:tc>
        <w:tc>
          <w:tcPr>
            <w:tcW w:w="745" w:type="dxa"/>
            <w:shd w:val="clear" w:color="auto" w:fill="auto"/>
          </w:tcPr>
          <w:p/>
        </w:tc>
        <w:tc>
          <w:tcPr>
            <w:tcW w:w="9255"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w:t>
            </w:r>
            <w:r>
              <w:rPr>
                <w:rFonts w:hint="eastAsia"/>
                <w:lang w:eastAsia="zh-CN"/>
              </w:rPr>
              <w:t>（</w:t>
            </w:r>
            <w:r>
              <w:rPr>
                <w:rFonts w:hint="eastAsia"/>
                <w:lang w:val="en-US" w:eastAsia="zh-CN"/>
              </w:rPr>
              <w:t>不涉及</w:t>
            </w:r>
            <w:r>
              <w:rPr>
                <w:rFonts w:hint="eastAsia"/>
                <w:lang w:eastAsia="zh-CN"/>
              </w:rPr>
              <w:t>）</w:t>
            </w:r>
            <w:r>
              <w:t>、返工</w:t>
            </w:r>
            <w:r>
              <w:rPr>
                <w:rFonts w:hint="eastAsia"/>
                <w:lang w:eastAsia="zh-CN"/>
              </w:rPr>
              <w:t>（</w:t>
            </w:r>
            <w:r>
              <w:rPr>
                <w:rFonts w:hint="eastAsia"/>
                <w:lang w:val="en-US" w:eastAsia="zh-CN"/>
              </w:rPr>
              <w:t>不涉及</w:t>
            </w:r>
            <w:r>
              <w:rPr>
                <w:rFonts w:hint="eastAsia"/>
                <w:lang w:eastAsia="zh-CN"/>
              </w:rPr>
              <w:t>）</w:t>
            </w:r>
            <w:r>
              <w:t>、物料进入、废料排出、外包</w:t>
            </w:r>
            <w:r>
              <w:rPr>
                <w:rFonts w:hint="eastAsia"/>
                <w:lang w:eastAsia="zh-CN"/>
              </w:rPr>
              <w:t>（</w:t>
            </w:r>
            <w:r>
              <w:rPr>
                <w:rFonts w:hint="eastAsia"/>
                <w:lang w:val="en-US" w:eastAsia="zh-CN"/>
              </w:rPr>
              <w:t>不涉及</w:t>
            </w:r>
            <w:r>
              <w:rPr>
                <w:rFonts w:hint="eastAsia"/>
                <w:lang w:eastAsia="zh-CN"/>
              </w:rPr>
              <w:t>）</w:t>
            </w:r>
            <w:r>
              <w:t>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90" w:type="dxa"/>
            <w:gridSpan w:val="2"/>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401"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pPr>
              <w:rPr>
                <w:rFonts w:hint="eastAsia" w:eastAsia="宋体"/>
                <w:lang w:eastAsia="zh-CN"/>
              </w:rPr>
            </w:pPr>
            <w:r>
              <w:t>食品安全小组于</w:t>
            </w:r>
            <w:r>
              <w:rPr>
                <w:u w:val="single"/>
              </w:rPr>
              <w:t xml:space="preserve">  2020 </w:t>
            </w:r>
            <w:r>
              <w:t>年</w:t>
            </w:r>
            <w:r>
              <w:rPr>
                <w:u w:val="single"/>
              </w:rPr>
              <w:t xml:space="preserve"> 11</w:t>
            </w:r>
            <w:r>
              <w:t>月</w:t>
            </w:r>
            <w:r>
              <w:rPr>
                <w:u w:val="single"/>
              </w:rPr>
              <w:t xml:space="preserve"> 15</w:t>
            </w:r>
            <w:r>
              <w:t>日根据初步情况进行危害分析，确定需要控制的危害。控制程度应确保食品安全，并在适当情况下采用多种控制措施的组合。</w:t>
            </w:r>
            <w:r>
              <w:rPr>
                <w:rFonts w:hint="eastAsia"/>
                <w:lang w:eastAsia="zh-CN"/>
              </w:rPr>
              <w:t>【</w:t>
            </w:r>
            <w:r>
              <w:rPr>
                <w:rFonts w:hint="eastAsia"/>
                <w:lang w:val="en-US" w:eastAsia="zh-CN"/>
              </w:rPr>
              <w:t>审核周期内未发生变化</w:t>
            </w:r>
            <w:r>
              <w:rPr>
                <w:rFonts w:hint="eastAsia"/>
                <w:lang w:eastAsia="zh-CN"/>
              </w:rPr>
              <w:t>】</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u w:val="single"/>
              </w:rPr>
              <w:t>《</w:t>
            </w:r>
            <w:r>
              <w:rPr>
                <w:rFonts w:hint="eastAsia"/>
                <w:u w:val="single"/>
              </w:rPr>
              <w:t>危害控制</w:t>
            </w:r>
            <w:r>
              <w:rPr>
                <w:u w:val="single"/>
              </w:rPr>
              <w:t>计划》</w:t>
            </w:r>
            <w:r>
              <w:t>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豆制品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540" w:firstLineChars="300"/>
                    <w:rPr>
                      <w:sz w:val="18"/>
                      <w:szCs w:val="18"/>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0"/>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10"/>
                    <w:ind w:left="-6" w:leftChars="-3"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10"/>
                    <w:ind w:left="0"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rFonts w:hint="eastAsia"/>
                      <w:bCs/>
                      <w:sz w:val="18"/>
                      <w:szCs w:val="18"/>
                      <w:lang w:val="en-US" w:eastAsia="zh-CN"/>
                    </w:rPr>
                    <w:t>酸奶、牛奶</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p>
                  <w:pPr>
                    <w:jc w:val="center"/>
                    <w:rPr>
                      <w:rFonts w:hint="eastAsia" w:ascii="Times New Roman" w:hAnsi="Times New Roman" w:eastAsia="宋体" w:cs="Times New Roman"/>
                      <w:bCs/>
                      <w:kern w:val="2"/>
                      <w:sz w:val="18"/>
                      <w:szCs w:val="18"/>
                      <w:lang w:val="en-GB" w:eastAsia="zh-CN" w:bidi="ar-SA"/>
                    </w:rPr>
                  </w:pPr>
                  <w:r>
                    <w:rPr>
                      <w:sz w:val="18"/>
                      <w:szCs w:val="18"/>
                    </w:rPr>
                    <w:sym w:font="Wingdings" w:char="00FE"/>
                  </w:r>
                  <w:r>
                    <w:rPr>
                      <w:rFonts w:hint="eastAsia"/>
                      <w:sz w:val="18"/>
                      <w:szCs w:val="18"/>
                      <w:lang w:val="en-US" w:eastAsia="zh-CN"/>
                    </w:rPr>
                    <w:t>三聚氰胺</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盛放容器：</w:t>
                  </w: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sz w:val="18"/>
                      <w:szCs w:val="18"/>
                    </w:rPr>
                    <w:t>粮油类</w:t>
                  </w:r>
                </w:p>
              </w:tc>
              <w:tc>
                <w:tcPr>
                  <w:tcW w:w="2873"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rPr>
                  </w:pPr>
                  <w:r>
                    <w:rPr>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sz w:val="18"/>
                      <w:szCs w:val="18"/>
                      <w:lang w:val="en-GB"/>
                    </w:rPr>
                    <w:t>豆制品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bCs/>
                      <w:sz w:val="18"/>
                      <w:szCs w:val="18"/>
                      <w:lang w:val="en-GB"/>
                    </w:rPr>
                    <w:t>鲜、冻畜肉</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jc w:val="center"/>
                    <w:rPr>
                      <w:bCs/>
                      <w:lang w:val="en-GB"/>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sz w:val="18"/>
                      <w:szCs w:val="18"/>
                      <w:lang w:val="en-GB"/>
                    </w:rPr>
                    <w:t>鲜、冻禽产品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sz w:val="18"/>
                      <w:szCs w:val="18"/>
                      <w:lang w:val="en-GB"/>
                    </w:rPr>
                    <w:t>水产品</w:t>
                  </w:r>
                </w:p>
              </w:tc>
              <w:tc>
                <w:tcPr>
                  <w:tcW w:w="2873"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10"/>
                    <w:ind w:left="-6" w:leftChars="-3"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10"/>
                    <w:ind w:firstLine="360"/>
                    <w:rPr>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调味品（食盐、酱油、味精、老抽、醋）</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rPr>
                  </w:pPr>
                  <w:r>
                    <w:rPr>
                      <w:rFonts w:hint="eastAsia"/>
                      <w:bCs/>
                      <w:sz w:val="18"/>
                      <w:szCs w:val="18"/>
                      <w:lang w:val="en-US" w:eastAsia="zh-CN"/>
                    </w:rPr>
                    <w:t>酸奶、牛奶</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p>
                  <w:pPr>
                    <w:jc w:val="center"/>
                    <w:rPr>
                      <w:sz w:val="18"/>
                      <w:szCs w:val="18"/>
                    </w:rPr>
                  </w:pPr>
                  <w:r>
                    <w:rPr>
                      <w:sz w:val="18"/>
                      <w:szCs w:val="18"/>
                    </w:rPr>
                    <w:sym w:font="Wingdings" w:char="00FE"/>
                  </w:r>
                  <w:r>
                    <w:rPr>
                      <w:rFonts w:hint="eastAsia"/>
                      <w:sz w:val="18"/>
                      <w:szCs w:val="18"/>
                      <w:lang w:val="en-US" w:eastAsia="zh-CN"/>
                    </w:rPr>
                    <w:t>三聚氰胺</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塑料袋</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sz w:val="18"/>
                      <w:szCs w:val="18"/>
                    </w:rPr>
                  </w:pPr>
                  <w:r>
                    <w:rPr>
                      <w:bCs/>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751"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GB2762-2017</w:t>
                  </w:r>
                  <w:r>
                    <w:rPr>
                      <w:rFonts w:hint="eastAsia"/>
                      <w:bCs/>
                      <w:szCs w:val="21"/>
                    </w:rPr>
                    <w:t>、GB 2716-2018、GB2763-2019、GB2761-2017执行，外包装完好</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畜禽肉类</w:t>
                  </w:r>
                </w:p>
              </w:tc>
              <w:tc>
                <w:tcPr>
                  <w:tcW w:w="4263" w:type="dxa"/>
                  <w:shd w:val="clear" w:color="auto" w:fill="auto"/>
                  <w:vAlign w:val="center"/>
                </w:tcPr>
                <w:p>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2005、GB 2707-2016执行，目测正常</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水产品</w:t>
                  </w:r>
                </w:p>
              </w:tc>
              <w:tc>
                <w:tcPr>
                  <w:tcW w:w="4263" w:type="dxa"/>
                  <w:shd w:val="clear" w:color="auto" w:fill="auto"/>
                  <w:vAlign w:val="center"/>
                </w:tcPr>
                <w:p>
                  <w:pPr>
                    <w:jc w:val="center"/>
                    <w:rPr>
                      <w:bCs/>
                      <w:szCs w:val="21"/>
                    </w:rPr>
                  </w:pPr>
                  <w:r>
                    <w:rPr>
                      <w:rFonts w:hint="eastAsia"/>
                      <w:bCs/>
                      <w:szCs w:val="21"/>
                    </w:rPr>
                    <w:t>按照</w:t>
                  </w:r>
                  <w:r>
                    <w:rPr>
                      <w:bCs/>
                      <w:szCs w:val="21"/>
                    </w:rPr>
                    <w:t>GB 2733-2015</w:t>
                  </w:r>
                  <w:r>
                    <w:rPr>
                      <w:rFonts w:hint="eastAsia"/>
                      <w:bCs/>
                      <w:szCs w:val="21"/>
                    </w:rPr>
                    <w:t>、</w:t>
                  </w:r>
                  <w:r>
                    <w:rPr>
                      <w:bCs/>
                      <w:szCs w:val="21"/>
                    </w:rPr>
                    <w:t>GB2762-2017</w:t>
                  </w:r>
                  <w:r>
                    <w:rPr>
                      <w:rFonts w:hint="eastAsia"/>
                      <w:bCs/>
                      <w:szCs w:val="21"/>
                    </w:rPr>
                    <w:t>、GB2763-2019执行，目测正常</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豆制品</w:t>
                  </w:r>
                </w:p>
              </w:tc>
              <w:tc>
                <w:tcPr>
                  <w:tcW w:w="4263" w:type="dxa"/>
                  <w:shd w:val="clear" w:color="auto" w:fill="auto"/>
                  <w:vAlign w:val="center"/>
                </w:tcPr>
                <w:p>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、GB2763-2019执行，目测正常</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eastAsia="宋体"/>
                      <w:bCs/>
                      <w:szCs w:val="21"/>
                      <w:lang w:val="en-US" w:eastAsia="zh-CN"/>
                    </w:rPr>
                  </w:pPr>
                  <w:r>
                    <w:rPr>
                      <w:rFonts w:hint="eastAsia"/>
                      <w:bCs/>
                      <w:szCs w:val="21"/>
                      <w:lang w:val="en-US" w:eastAsia="zh-CN"/>
                    </w:rPr>
                    <w:t>酸奶、牛奶</w:t>
                  </w:r>
                </w:p>
              </w:tc>
              <w:tc>
                <w:tcPr>
                  <w:tcW w:w="4263" w:type="dxa"/>
                  <w:shd w:val="clear" w:color="auto" w:fill="auto"/>
                  <w:vAlign w:val="center"/>
                </w:tcPr>
                <w:p>
                  <w:pPr>
                    <w:jc w:val="center"/>
                    <w:rPr>
                      <w:rFonts w:hint="default" w:eastAsia="宋体"/>
                      <w:bCs/>
                      <w:szCs w:val="21"/>
                      <w:lang w:val="en-US" w:eastAsia="zh-CN"/>
                    </w:rPr>
                  </w:pPr>
                  <w:r>
                    <w:rPr>
                      <w:rFonts w:hint="eastAsia" w:ascii="Verdana" w:hAnsi="Verdana" w:cs="Verdana"/>
                      <w:i w:val="0"/>
                      <w:iCs w:val="0"/>
                      <w:caps w:val="0"/>
                      <w:color w:val="333333"/>
                      <w:spacing w:val="0"/>
                      <w:sz w:val="20"/>
                      <w:szCs w:val="20"/>
                      <w:shd w:val="clear" w:fill="FFFFFF"/>
                      <w:lang w:val="en-US" w:eastAsia="zh-CN"/>
                    </w:rPr>
                    <w:t>按照</w:t>
                  </w:r>
                  <w:r>
                    <w:rPr>
                      <w:rFonts w:ascii="Verdana" w:hAnsi="Verdana" w:eastAsia="宋体" w:cs="Verdana"/>
                      <w:i w:val="0"/>
                      <w:iCs w:val="0"/>
                      <w:caps w:val="0"/>
                      <w:color w:val="333333"/>
                      <w:spacing w:val="0"/>
                      <w:sz w:val="20"/>
                      <w:szCs w:val="20"/>
                      <w:shd w:val="clear" w:fill="FFFFFF"/>
                    </w:rPr>
                    <w:t>GB 19302-2010</w:t>
                  </w:r>
                  <w:r>
                    <w:rPr>
                      <w:rFonts w:hint="eastAsia" w:ascii="Verdana" w:hAnsi="Verdana" w:cs="Verdana"/>
                      <w:i w:val="0"/>
                      <w:iCs w:val="0"/>
                      <w:caps w:val="0"/>
                      <w:color w:val="333333"/>
                      <w:spacing w:val="0"/>
                      <w:sz w:val="20"/>
                      <w:szCs w:val="20"/>
                      <w:shd w:val="clear" w:fill="FFFFFF"/>
                      <w:lang w:eastAsia="zh-CN"/>
                    </w:rPr>
                    <w:t>、GB 19301-2010</w:t>
                  </w:r>
                  <w:r>
                    <w:rPr>
                      <w:rFonts w:hint="eastAsia" w:ascii="Verdana" w:hAnsi="Verdana" w:cs="Verdana"/>
                      <w:i w:val="0"/>
                      <w:iCs w:val="0"/>
                      <w:caps w:val="0"/>
                      <w:color w:val="333333"/>
                      <w:spacing w:val="0"/>
                      <w:sz w:val="20"/>
                      <w:szCs w:val="20"/>
                      <w:shd w:val="clear" w:fill="FFFFFF"/>
                      <w:lang w:val="en-US" w:eastAsia="zh-CN"/>
                    </w:rPr>
                    <w:t>等</w:t>
                  </w:r>
                  <w:r>
                    <w:rPr>
                      <w:rFonts w:hint="eastAsia" w:ascii="Verdana" w:hAnsi="Verdana" w:cs="Verdana"/>
                      <w:i w:val="0"/>
                      <w:iCs w:val="0"/>
                      <w:caps w:val="0"/>
                      <w:color w:val="333333"/>
                      <w:spacing w:val="0"/>
                      <w:sz w:val="20"/>
                      <w:szCs w:val="20"/>
                      <w:shd w:val="clear" w:fill="FFFFFF"/>
                      <w:lang w:eastAsia="zh-CN"/>
                    </w:rPr>
                    <w:t xml:space="preserve"> </w:t>
                  </w:r>
                  <w:r>
                    <w:rPr>
                      <w:rFonts w:hint="eastAsia" w:ascii="Verdana" w:hAnsi="Verdana" w:cs="Verdana"/>
                      <w:i w:val="0"/>
                      <w:iCs w:val="0"/>
                      <w:caps w:val="0"/>
                      <w:color w:val="333333"/>
                      <w:spacing w:val="0"/>
                      <w:sz w:val="20"/>
                      <w:szCs w:val="20"/>
                      <w:shd w:val="clear" w:fill="FFFFFF"/>
                      <w:lang w:val="en-US" w:eastAsia="zh-CN"/>
                    </w:rPr>
                    <w:t>执行</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rFonts w:hint="eastAsia" w:ascii="宋体" w:hAnsi="宋体"/>
                      <w:bCs/>
                      <w:szCs w:val="21"/>
                    </w:rPr>
                  </w:pPr>
                  <w:r>
                    <w:rPr>
                      <w:rFonts w:hint="eastAsia" w:ascii="宋体" w:hAnsi="宋体"/>
                      <w:bCs/>
                      <w:szCs w:val="21"/>
                    </w:rPr>
                    <w:sym w:font="Wingdings 2" w:char="0052"/>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center"/>
                </w:tcPr>
                <w:p>
                  <w:pPr>
                    <w:rPr>
                      <w:bCs/>
                    </w:rPr>
                  </w:pPr>
                  <w:r>
                    <w:rPr>
                      <w:rFonts w:hint="eastAsia"/>
                      <w:bCs/>
                    </w:rPr>
                    <w:t>目视洁净</w:t>
                  </w:r>
                </w:p>
              </w:tc>
              <w:tc>
                <w:tcPr>
                  <w:tcW w:w="2751" w:type="dxa"/>
                  <w:shd w:val="clear" w:color="auto" w:fill="auto"/>
                  <w:vAlign w:val="center"/>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11" w:hRule="atLeast"/>
        </w:trPr>
        <w:tc>
          <w:tcPr>
            <w:tcW w:w="2174" w:type="dxa"/>
            <w:gridSpan w:val="2"/>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925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590" w:type="dxa"/>
            <w:gridSpan w:val="2"/>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453"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rFonts w:hint="default" w:eastAsia="宋体"/>
                <w:color w:val="000000" w:themeColor="text1"/>
                <w:u w:val="single"/>
                <w:lang w:val="en-US" w:eastAsia="zh-CN"/>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r>
              <w:rPr>
                <w:rFonts w:hint="eastAsia"/>
                <w:color w:val="000000" w:themeColor="text1"/>
                <w:u w:val="single"/>
                <w:lang w:eastAsia="zh-CN"/>
                <w14:textFill>
                  <w14:solidFill>
                    <w14:schemeClr w14:val="tx1"/>
                  </w14:solidFill>
                </w14:textFill>
              </w:rPr>
              <w:t>，</w:t>
            </w:r>
            <w:bookmarkStart w:id="0" w:name="_GoBack"/>
            <w:bookmarkEnd w:id="0"/>
            <w:r>
              <w:rPr>
                <w:rFonts w:hint="eastAsia"/>
                <w:color w:val="000000" w:themeColor="text1"/>
                <w:u w:val="single"/>
                <w:lang w:val="en-US" w:eastAsia="zh-CN"/>
                <w14:textFill>
                  <w14:solidFill>
                    <w14:schemeClr w14:val="tx1"/>
                  </w14:solidFill>
                </w14:textFill>
              </w:rPr>
              <w:t>具体见收集材料</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00"/>
              <w:gridCol w:w="1419"/>
              <w:gridCol w:w="1959"/>
              <w:gridCol w:w="137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日期</w:t>
                  </w:r>
                </w:p>
              </w:tc>
              <w:tc>
                <w:tcPr>
                  <w:tcW w:w="1400"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样品名称/批次</w:t>
                  </w:r>
                </w:p>
              </w:tc>
              <w:tc>
                <w:tcPr>
                  <w:tcW w:w="141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送检方式</w:t>
                  </w:r>
                </w:p>
              </w:tc>
              <w:tc>
                <w:tcPr>
                  <w:tcW w:w="1959" w:type="dxa"/>
                </w:tcPr>
                <w:p>
                  <w:pPr>
                    <w:rPr>
                      <w:color w:val="000000" w:themeColor="text1"/>
                      <w:sz w:val="18"/>
                      <w:szCs w:val="18"/>
                      <w:highlight w:val="none"/>
                      <w14:textFill>
                        <w14:solidFill>
                          <w14:schemeClr w14:val="tx1"/>
                        </w14:solidFill>
                      </w14:textFill>
                    </w:rPr>
                  </w:pPr>
                  <w:r>
                    <w:rPr>
                      <w:b/>
                      <w:bCs/>
                      <w:color w:val="000000" w:themeColor="text1"/>
                      <w:sz w:val="18"/>
                      <w:szCs w:val="18"/>
                      <w:highlight w:val="none"/>
                      <w14:textFill>
                        <w14:solidFill>
                          <w14:schemeClr w14:val="tx1"/>
                        </w14:solidFill>
                      </w14:textFill>
                    </w:rPr>
                    <w:t>报告编号</w:t>
                  </w:r>
                </w:p>
              </w:tc>
              <w:tc>
                <w:tcPr>
                  <w:tcW w:w="1378"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报告日期</w:t>
                  </w:r>
                </w:p>
              </w:tc>
              <w:tc>
                <w:tcPr>
                  <w:tcW w:w="171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tcPr>
                <w:p>
                  <w:pPr>
                    <w:rPr>
                      <w:color w:val="000000" w:themeColor="text1"/>
                      <w:sz w:val="18"/>
                      <w:szCs w:val="18"/>
                      <w:highlight w:val="none"/>
                      <w14:textFill>
                        <w14:solidFill>
                          <w14:schemeClr w14:val="tx1"/>
                        </w14:solidFill>
                      </w14:textFill>
                    </w:rPr>
                  </w:pPr>
                  <w:r>
                    <w:rPr>
                      <w:rFonts w:hint="eastAsia"/>
                      <w:highlight w:val="none"/>
                    </w:rPr>
                    <w:t>2</w:t>
                  </w:r>
                  <w:r>
                    <w:rPr>
                      <w:highlight w:val="none"/>
                    </w:rPr>
                    <w:t>02</w:t>
                  </w:r>
                  <w:r>
                    <w:rPr>
                      <w:rFonts w:hint="eastAsia"/>
                      <w:highlight w:val="none"/>
                      <w:lang w:val="en-US" w:eastAsia="zh-CN"/>
                    </w:rPr>
                    <w:t>1-09-01</w:t>
                  </w:r>
                </w:p>
              </w:tc>
              <w:tc>
                <w:tcPr>
                  <w:tcW w:w="1400" w:type="dxa"/>
                </w:tcPr>
                <w:p>
                  <w:pPr>
                    <w:rPr>
                      <w:color w:val="000000" w:themeColor="text1"/>
                      <w:sz w:val="18"/>
                      <w:szCs w:val="18"/>
                      <w:highlight w:val="none"/>
                      <w14:textFill>
                        <w14:solidFill>
                          <w14:schemeClr w14:val="tx1"/>
                        </w14:solidFill>
                      </w14:textFill>
                    </w:rPr>
                  </w:pPr>
                  <w:r>
                    <w:rPr>
                      <w:rFonts w:hint="eastAsia"/>
                      <w:highlight w:val="none"/>
                    </w:rPr>
                    <w:t>冷冻鸡肉</w:t>
                  </w:r>
                </w:p>
              </w:tc>
              <w:tc>
                <w:tcPr>
                  <w:tcW w:w="141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59" w:type="dxa"/>
                </w:tcPr>
                <w:p>
                  <w:pPr>
                    <w:rPr>
                      <w:color w:val="000000" w:themeColor="text1"/>
                      <w:sz w:val="18"/>
                      <w:szCs w:val="18"/>
                      <w:highlight w:val="none"/>
                      <w14:textFill>
                        <w14:solidFill>
                          <w14:schemeClr w14:val="tx1"/>
                        </w14:solidFill>
                      </w14:textFill>
                    </w:rPr>
                  </w:pPr>
                  <w:r>
                    <w:rPr>
                      <w:rFonts w:hint="eastAsia"/>
                      <w:highlight w:val="none"/>
                    </w:rPr>
                    <w:t>FQD0807322981A</w:t>
                  </w:r>
                </w:p>
              </w:tc>
              <w:tc>
                <w:tcPr>
                  <w:tcW w:w="1378" w:type="dxa"/>
                </w:tcPr>
                <w:p>
                  <w:pPr>
                    <w:rPr>
                      <w:rFonts w:hint="eastAsia"/>
                      <w:highlight w:val="none"/>
                      <w:lang w:val="en-US" w:eastAsia="zh-CN"/>
                    </w:rPr>
                  </w:pPr>
                  <w:r>
                    <w:rPr>
                      <w:rFonts w:hint="eastAsia"/>
                      <w:highlight w:val="none"/>
                    </w:rPr>
                    <w:t>2</w:t>
                  </w:r>
                  <w:r>
                    <w:rPr>
                      <w:highlight w:val="none"/>
                    </w:rPr>
                    <w:t>02</w:t>
                  </w:r>
                  <w:r>
                    <w:rPr>
                      <w:rFonts w:hint="eastAsia"/>
                      <w:highlight w:val="none"/>
                      <w:lang w:val="en-US" w:eastAsia="zh-CN"/>
                    </w:rPr>
                    <w:t>1-09-01</w:t>
                  </w:r>
                </w:p>
                <w:p>
                  <w:pPr>
                    <w:rPr>
                      <w:color w:val="000000" w:themeColor="text1"/>
                      <w:sz w:val="18"/>
                      <w:szCs w:val="18"/>
                      <w:highlight w:val="none"/>
                      <w14:textFill>
                        <w14:solidFill>
                          <w14:schemeClr w14:val="tx1"/>
                        </w14:solidFill>
                      </w14:textFill>
                    </w:rPr>
                  </w:pPr>
                </w:p>
              </w:tc>
              <w:tc>
                <w:tcPr>
                  <w:tcW w:w="171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18"/>
                      <w:szCs w:val="18"/>
                      <w:highlight w:val="none"/>
                      <w14:textFill>
                        <w14:solidFill>
                          <w14:schemeClr w14:val="tx1"/>
                        </w14:solidFill>
                      </w14:textFill>
                    </w:rPr>
                  </w:pPr>
                  <w:r>
                    <w:rPr>
                      <w:rFonts w:hint="eastAsia" w:ascii="宋体" w:hAnsi="宋体" w:cs="宋体"/>
                      <w:color w:val="000000"/>
                      <w:kern w:val="0"/>
                      <w:sz w:val="21"/>
                      <w:szCs w:val="21"/>
                      <w:highlight w:val="none"/>
                      <w:lang w:val="en-US" w:eastAsia="zh-CN" w:bidi="ar"/>
                    </w:rPr>
                    <w:t>2022.02.12</w:t>
                  </w:r>
                </w:p>
              </w:tc>
              <w:tc>
                <w:tcPr>
                  <w:tcW w:w="1400" w:type="dxa"/>
                </w:tcPr>
                <w:p>
                  <w:pPr>
                    <w:rPr>
                      <w:color w:val="000000" w:themeColor="text1"/>
                      <w:sz w:val="18"/>
                      <w:szCs w:val="18"/>
                      <w:highlight w:val="none"/>
                      <w14:textFill>
                        <w14:solidFill>
                          <w14:schemeClr w14:val="tx1"/>
                        </w14:solidFill>
                      </w14:textFill>
                    </w:rPr>
                  </w:pPr>
                  <w:r>
                    <w:rPr>
                      <w:rFonts w:hint="eastAsia" w:ascii="宋体" w:hAnsi="宋体" w:eastAsia="宋体" w:cs="宋体"/>
                      <w:color w:val="000000"/>
                      <w:kern w:val="0"/>
                      <w:sz w:val="21"/>
                      <w:szCs w:val="21"/>
                      <w:highlight w:val="none"/>
                      <w:lang w:val="en-US" w:eastAsia="zh-CN" w:bidi="ar"/>
                    </w:rPr>
                    <w:t>光明风味发酵乳（低脂肪0蔗糖）</w:t>
                  </w:r>
                </w:p>
              </w:tc>
              <w:tc>
                <w:tcPr>
                  <w:tcW w:w="141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59" w:type="dxa"/>
                </w:tcPr>
                <w:p>
                  <w:pPr>
                    <w:rPr>
                      <w:color w:val="000000" w:themeColor="text1"/>
                      <w:sz w:val="18"/>
                      <w:szCs w:val="18"/>
                      <w:highlight w:val="none"/>
                      <w14:textFill>
                        <w14:solidFill>
                          <w14:schemeClr w14:val="tx1"/>
                        </w14:solidFill>
                      </w14:textFill>
                    </w:rPr>
                  </w:pPr>
                  <w:r>
                    <w:rPr>
                      <w:rFonts w:hint="eastAsia" w:ascii="宋体" w:hAnsi="宋体" w:eastAsia="宋体" w:cs="宋体"/>
                      <w:color w:val="000000"/>
                      <w:kern w:val="0"/>
                      <w:sz w:val="21"/>
                      <w:szCs w:val="21"/>
                      <w:highlight w:val="none"/>
                      <w:lang w:val="en-US" w:eastAsia="zh-CN" w:bidi="ar"/>
                    </w:rPr>
                    <w:t>20220211061</w:t>
                  </w:r>
                </w:p>
              </w:tc>
              <w:tc>
                <w:tcPr>
                  <w:tcW w:w="1378" w:type="dxa"/>
                </w:tcPr>
                <w:p>
                  <w:pPr>
                    <w:rPr>
                      <w:color w:val="000000" w:themeColor="text1"/>
                      <w:sz w:val="18"/>
                      <w:szCs w:val="18"/>
                      <w:highlight w:val="none"/>
                      <w14:textFill>
                        <w14:solidFill>
                          <w14:schemeClr w14:val="tx1"/>
                        </w14:solidFill>
                      </w14:textFill>
                    </w:rPr>
                  </w:pPr>
                  <w:r>
                    <w:rPr>
                      <w:rFonts w:hint="eastAsia" w:ascii="宋体" w:hAnsi="宋体" w:cs="宋体"/>
                      <w:color w:val="000000"/>
                      <w:kern w:val="0"/>
                      <w:sz w:val="21"/>
                      <w:szCs w:val="21"/>
                      <w:highlight w:val="none"/>
                      <w:lang w:val="en-US" w:eastAsia="zh-CN" w:bidi="ar"/>
                    </w:rPr>
                    <w:t>2022.02.12</w:t>
                  </w:r>
                </w:p>
              </w:tc>
              <w:tc>
                <w:tcPr>
                  <w:tcW w:w="171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18"/>
                      <w:szCs w:val="18"/>
                      <w:highlight w:val="none"/>
                      <w14:textFill>
                        <w14:solidFill>
                          <w14:schemeClr w14:val="tx1"/>
                        </w14:solidFill>
                      </w14:textFill>
                    </w:rPr>
                  </w:pPr>
                </w:p>
              </w:tc>
              <w:tc>
                <w:tcPr>
                  <w:tcW w:w="1400" w:type="dxa"/>
                </w:tcPr>
                <w:p>
                  <w:pPr>
                    <w:rPr>
                      <w:color w:val="000000" w:themeColor="text1"/>
                      <w:sz w:val="18"/>
                      <w:szCs w:val="18"/>
                      <w:highlight w:val="none"/>
                      <w14:textFill>
                        <w14:solidFill>
                          <w14:schemeClr w14:val="tx1"/>
                        </w14:solidFill>
                      </w14:textFill>
                    </w:rPr>
                  </w:pPr>
                </w:p>
              </w:tc>
              <w:tc>
                <w:tcPr>
                  <w:tcW w:w="141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59" w:type="dxa"/>
                </w:tcPr>
                <w:p>
                  <w:pPr>
                    <w:rPr>
                      <w:color w:val="000000" w:themeColor="text1"/>
                      <w:sz w:val="18"/>
                      <w:szCs w:val="18"/>
                      <w:highlight w:val="none"/>
                      <w14:textFill>
                        <w14:solidFill>
                          <w14:schemeClr w14:val="tx1"/>
                        </w14:solidFill>
                      </w14:textFill>
                    </w:rPr>
                  </w:pPr>
                </w:p>
              </w:tc>
              <w:tc>
                <w:tcPr>
                  <w:tcW w:w="1378" w:type="dxa"/>
                </w:tcPr>
                <w:p>
                  <w:pPr>
                    <w:rPr>
                      <w:color w:val="000000" w:themeColor="text1"/>
                      <w:sz w:val="18"/>
                      <w:szCs w:val="18"/>
                      <w:highlight w:val="none"/>
                      <w14:textFill>
                        <w14:solidFill>
                          <w14:schemeClr w14:val="tx1"/>
                        </w14:solidFill>
                      </w14:textFill>
                    </w:rPr>
                  </w:pPr>
                </w:p>
              </w:tc>
              <w:tc>
                <w:tcPr>
                  <w:tcW w:w="171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18"/>
                      <w:szCs w:val="18"/>
                      <w:highlight w:val="none"/>
                      <w14:textFill>
                        <w14:solidFill>
                          <w14:schemeClr w14:val="tx1"/>
                        </w14:solidFill>
                      </w14:textFill>
                    </w:rPr>
                  </w:pPr>
                </w:p>
              </w:tc>
              <w:tc>
                <w:tcPr>
                  <w:tcW w:w="1400" w:type="dxa"/>
                </w:tcPr>
                <w:p>
                  <w:pPr>
                    <w:rPr>
                      <w:color w:val="000000" w:themeColor="text1"/>
                      <w:sz w:val="18"/>
                      <w:szCs w:val="18"/>
                      <w:highlight w:val="none"/>
                      <w14:textFill>
                        <w14:solidFill>
                          <w14:schemeClr w14:val="tx1"/>
                        </w14:solidFill>
                      </w14:textFill>
                    </w:rPr>
                  </w:pPr>
                </w:p>
              </w:tc>
              <w:tc>
                <w:tcPr>
                  <w:tcW w:w="141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1959" w:type="dxa"/>
                </w:tcPr>
                <w:p>
                  <w:pPr>
                    <w:rPr>
                      <w:color w:val="000000" w:themeColor="text1"/>
                      <w:sz w:val="18"/>
                      <w:szCs w:val="18"/>
                      <w:highlight w:val="none"/>
                      <w14:textFill>
                        <w14:solidFill>
                          <w14:schemeClr w14:val="tx1"/>
                        </w14:solidFill>
                      </w14:textFill>
                    </w:rPr>
                  </w:pPr>
                </w:p>
              </w:tc>
              <w:tc>
                <w:tcPr>
                  <w:tcW w:w="1378" w:type="dxa"/>
                </w:tcPr>
                <w:p>
                  <w:pPr>
                    <w:rPr>
                      <w:color w:val="000000" w:themeColor="text1"/>
                      <w:sz w:val="18"/>
                      <w:szCs w:val="18"/>
                      <w:highlight w:val="none"/>
                      <w14:textFill>
                        <w14:solidFill>
                          <w14:schemeClr w14:val="tx1"/>
                        </w14:solidFill>
                      </w14:textFill>
                    </w:rPr>
                  </w:pPr>
                </w:p>
              </w:tc>
              <w:tc>
                <w:tcPr>
                  <w:tcW w:w="1716"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bl>
          <w:p>
            <w:pPr>
              <w:adjustRightInd w:val="0"/>
              <w:snapToGrid w:val="0"/>
              <w:spacing w:line="240" w:lineRule="atLeast"/>
              <w:ind w:firstLine="211" w:firstLineChars="100"/>
              <w:rPr>
                <w:rFonts w:hint="eastAsia" w:ascii="宋体" w:hAnsi="宋体"/>
                <w:b/>
                <w:bCs/>
                <w:szCs w:val="21"/>
                <w:u w:val="single"/>
              </w:rPr>
            </w:pP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危害控制计划确认</w:t>
            </w:r>
            <w:r>
              <w:rPr>
                <w:rFonts w:hint="eastAsia" w:ascii="宋体" w:hAnsi="宋体"/>
                <w:b/>
                <w:bCs/>
                <w:szCs w:val="21"/>
                <w:u w:val="single"/>
              </w:rPr>
              <w:t>》，202</w:t>
            </w:r>
            <w:r>
              <w:rPr>
                <w:rFonts w:hint="eastAsia" w:ascii="宋体" w:hAnsi="宋体"/>
                <w:b/>
                <w:bCs/>
                <w:szCs w:val="21"/>
                <w:u w:val="single"/>
                <w:lang w:val="en-US" w:eastAsia="zh-CN"/>
              </w:rPr>
              <w:t>1</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lang w:val="en-US" w:eastAsia="zh-CN"/>
              </w:rPr>
              <w:t>1</w:t>
            </w:r>
            <w:r>
              <w:rPr>
                <w:rFonts w:hint="eastAsia" w:ascii="宋体" w:hAnsi="宋体"/>
                <w:b/>
                <w:bCs/>
                <w:szCs w:val="21"/>
                <w:u w:val="single"/>
              </w:rPr>
              <w:t>-</w:t>
            </w:r>
            <w:r>
              <w:rPr>
                <w:rFonts w:ascii="宋体" w:hAnsi="宋体"/>
                <w:b/>
                <w:bCs/>
                <w:szCs w:val="21"/>
                <w:u w:val="single"/>
              </w:rPr>
              <w:t>15</w:t>
            </w:r>
            <w:r>
              <w:rPr>
                <w:rFonts w:hint="eastAsia" w:ascii="宋体" w:hAnsi="宋体"/>
                <w:b/>
                <w:bCs/>
                <w:szCs w:val="21"/>
                <w:u w:val="single"/>
              </w:rPr>
              <w:t>，结论：控制有效</w:t>
            </w:r>
          </w:p>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745"/>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3"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2745"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308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3"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2745"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308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3"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2745"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308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3"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2745"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308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3"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2745"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3088" w:type="dxa"/>
                </w:tcPr>
                <w:p>
                  <w:pPr>
                    <w:rPr>
                      <w:color w:val="000000" w:themeColor="text1"/>
                      <w14:textFill>
                        <w14:solidFill>
                          <w14:schemeClr w14:val="tx1"/>
                        </w14:solidFill>
                      </w14:textFill>
                    </w:rPr>
                  </w:pP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82" w:hRule="atLeast"/>
        </w:trPr>
        <w:tc>
          <w:tcPr>
            <w:tcW w:w="2174" w:type="dxa"/>
            <w:gridSpan w:val="2"/>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危害控制</w:t>
            </w:r>
            <w:r>
              <w:t>计划》</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320"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pPr>
              <w:spacing w:before="240" w:after="120"/>
            </w:pPr>
            <w:r>
              <w:t>OPRP</w:t>
            </w:r>
            <w:r>
              <w:rPr>
                <w:rFonts w:hint="eastAsia"/>
              </w:rPr>
              <w:t>点</w:t>
            </w:r>
          </w:p>
          <w:tbl>
            <w:tblPr>
              <w:tblStyle w:val="11"/>
              <w:tblW w:w="879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01"/>
              <w:gridCol w:w="1124"/>
              <w:gridCol w:w="1825"/>
              <w:gridCol w:w="1530"/>
              <w:gridCol w:w="212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801" w:type="dxa"/>
                  <w:shd w:val="clear" w:color="auto" w:fill="auto"/>
                </w:tcPr>
                <w:p>
                  <w:pPr>
                    <w:pStyle w:val="20"/>
                    <w:rPr>
                      <w:rFonts w:ascii="Times New Roman" w:hAnsi="Times New Roman" w:cs="Times New Roman"/>
                      <w:b w:val="0"/>
                      <w:highlight w:val="none"/>
                      <w:lang w:eastAsia="zh-CN"/>
                    </w:rPr>
                  </w:pPr>
                  <w:r>
                    <w:rPr>
                      <w:rFonts w:ascii="Times New Roman" w:hAnsi="Times New Roman" w:cs="Times New Roman"/>
                      <w:b w:val="0"/>
                      <w:highlight w:val="none"/>
                      <w:lang w:eastAsia="zh-CN"/>
                    </w:rPr>
                    <w:t>序号</w:t>
                  </w:r>
                </w:p>
              </w:tc>
              <w:tc>
                <w:tcPr>
                  <w:tcW w:w="1124" w:type="dxa"/>
                  <w:shd w:val="clear" w:color="auto" w:fill="auto"/>
                </w:tcPr>
                <w:p>
                  <w:pPr>
                    <w:pStyle w:val="20"/>
                    <w:rPr>
                      <w:rFonts w:ascii="Times New Roman" w:hAnsi="Times New Roman" w:cs="Times New Roman"/>
                      <w:b w:val="0"/>
                      <w:highlight w:val="none"/>
                      <w:lang w:eastAsia="zh-CN"/>
                    </w:rPr>
                  </w:pPr>
                  <w:r>
                    <w:rPr>
                      <w:rFonts w:ascii="Times New Roman" w:hAnsi="Times New Roman" w:cs="Times New Roman"/>
                      <w:b w:val="0"/>
                      <w:highlight w:val="none"/>
                      <w:lang w:eastAsia="zh-CN"/>
                    </w:rPr>
                    <w:t>过程步骤</w:t>
                  </w:r>
                </w:p>
              </w:tc>
              <w:tc>
                <w:tcPr>
                  <w:tcW w:w="1825" w:type="dxa"/>
                  <w:shd w:val="clear" w:color="auto" w:fill="auto"/>
                </w:tcPr>
                <w:p>
                  <w:pPr>
                    <w:pStyle w:val="20"/>
                    <w:rPr>
                      <w:rFonts w:ascii="Times New Roman" w:hAnsi="Times New Roman" w:cs="Times New Roman"/>
                      <w:b w:val="0"/>
                      <w:highlight w:val="none"/>
                      <w:lang w:eastAsia="zh-CN"/>
                    </w:rPr>
                  </w:pPr>
                  <w:r>
                    <w:rPr>
                      <w:rFonts w:hint="eastAsia" w:ascii="Times New Roman" w:hAnsi="Times New Roman" w:cs="Times New Roman"/>
                      <w:b w:val="0"/>
                      <w:highlight w:val="none"/>
                      <w:lang w:val="en-US" w:eastAsia="zh-CN"/>
                    </w:rPr>
                    <w:t>显著危害</w:t>
                  </w:r>
                </w:p>
              </w:tc>
              <w:tc>
                <w:tcPr>
                  <w:tcW w:w="1530" w:type="dxa"/>
                  <w:shd w:val="clear" w:color="auto" w:fill="auto"/>
                </w:tcPr>
                <w:p>
                  <w:pPr>
                    <w:pStyle w:val="20"/>
                    <w:rPr>
                      <w:rFonts w:ascii="Times New Roman" w:hAnsi="Times New Roman" w:cs="Times New Roman"/>
                      <w:b w:val="0"/>
                      <w:highlight w:val="none"/>
                      <w:lang w:val="fr-FR" w:eastAsia="zh-CN"/>
                    </w:rPr>
                  </w:pPr>
                  <w:r>
                    <w:rPr>
                      <w:rFonts w:hint="eastAsia" w:ascii="Times New Roman" w:hAnsi="Times New Roman" w:cs="Times New Roman"/>
                      <w:b w:val="0"/>
                      <w:highlight w:val="none"/>
                      <w:lang w:val="en-US" w:eastAsia="zh-CN"/>
                    </w:rPr>
                    <w:t>行动准则</w:t>
                  </w:r>
                </w:p>
              </w:tc>
              <w:tc>
                <w:tcPr>
                  <w:tcW w:w="2120" w:type="dxa"/>
                  <w:shd w:val="clear" w:color="auto" w:fill="auto"/>
                </w:tcPr>
                <w:p>
                  <w:pPr>
                    <w:pStyle w:val="20"/>
                    <w:rPr>
                      <w:rFonts w:ascii="Times New Roman" w:hAnsi="Times New Roman" w:cs="Times New Roman"/>
                      <w:b w:val="0"/>
                      <w:highlight w:val="none"/>
                      <w:lang w:eastAsia="zh-CN"/>
                    </w:rPr>
                  </w:pPr>
                  <w:r>
                    <w:rPr>
                      <w:rFonts w:ascii="Times New Roman" w:hAnsi="Times New Roman" w:cs="Times New Roman"/>
                      <w:b w:val="0"/>
                      <w:highlight w:val="none"/>
                      <w:lang w:eastAsia="zh-CN"/>
                    </w:rPr>
                    <w:t>监控程序</w:t>
                  </w:r>
                </w:p>
              </w:tc>
              <w:tc>
                <w:tcPr>
                  <w:tcW w:w="1398" w:type="dxa"/>
                  <w:shd w:val="clear" w:color="auto" w:fill="auto"/>
                </w:tcPr>
                <w:p>
                  <w:pPr>
                    <w:pStyle w:val="20"/>
                    <w:jc w:val="both"/>
                    <w:rPr>
                      <w:rFonts w:ascii="Times New Roman" w:hAnsi="Times New Roman" w:cs="Times New Roman"/>
                      <w:b w:val="0"/>
                      <w:highlight w:val="none"/>
                      <w:lang w:val="en-US" w:eastAsia="zh-CN"/>
                    </w:rPr>
                  </w:pPr>
                  <w:r>
                    <w:rPr>
                      <w:rFonts w:ascii="Times New Roman" w:hAnsi="Times New Roman" w:cs="Times New Roman"/>
                      <w:b w:val="0"/>
                      <w:highlight w:val="none"/>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 w:hRule="atLeast"/>
                <w:tblHeader/>
              </w:trPr>
              <w:tc>
                <w:tcPr>
                  <w:tcW w:w="801" w:type="dxa"/>
                  <w:shd w:val="clear" w:color="auto" w:fill="auto"/>
                  <w:vAlign w:val="top"/>
                </w:tcPr>
                <w:p>
                  <w:pPr>
                    <w:jc w:val="left"/>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rPr>
                    <w:t>OPRP</w:t>
                  </w:r>
                  <w:r>
                    <w:rPr>
                      <w:rFonts w:hint="eastAsia"/>
                      <w:sz w:val="18"/>
                      <w:szCs w:val="18"/>
                      <w:highlight w:val="none"/>
                      <w:lang w:val="en-US" w:eastAsia="zh-CN"/>
                    </w:rPr>
                    <w:t>a</w:t>
                  </w:r>
                </w:p>
              </w:tc>
              <w:tc>
                <w:tcPr>
                  <w:tcW w:w="1124" w:type="dxa"/>
                  <w:shd w:val="clear" w:color="auto" w:fill="auto"/>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sz w:val="18"/>
                      <w:szCs w:val="18"/>
                      <w:highlight w:val="none"/>
                    </w:rPr>
                    <w:t>畜禽肉类原料采购验收</w:t>
                  </w:r>
                </w:p>
              </w:tc>
              <w:tc>
                <w:tcPr>
                  <w:tcW w:w="1825" w:type="dxa"/>
                  <w:shd w:val="clear" w:color="auto" w:fill="auto"/>
                  <w:vAlign w:val="top"/>
                </w:tcPr>
                <w:p>
                  <w:pPr>
                    <w:jc w:val="left"/>
                    <w:rPr>
                      <w:rFonts w:hint="eastAsia" w:ascii="Times New Roman" w:hAnsi="Times New Roman" w:eastAsia="宋体" w:cs="Times New Roman"/>
                      <w:kern w:val="2"/>
                      <w:sz w:val="18"/>
                      <w:szCs w:val="18"/>
                      <w:highlight w:val="none"/>
                      <w:lang w:val="en-US" w:eastAsia="zh-CN" w:bidi="ar-SA"/>
                    </w:rPr>
                  </w:pPr>
                  <w:r>
                    <w:rPr>
                      <w:rFonts w:hint="eastAsia" w:ascii="宋体" w:hAnsi="宋体"/>
                      <w:sz w:val="18"/>
                      <w:szCs w:val="18"/>
                      <w:highlight w:val="none"/>
                    </w:rPr>
                    <w:t>有害微生物、重金属、挥发性盐基氮、抗生素、促生长素等有害化学物质超标</w:t>
                  </w:r>
                </w:p>
              </w:tc>
              <w:tc>
                <w:tcPr>
                  <w:tcW w:w="1530" w:type="dxa"/>
                  <w:shd w:val="clear" w:color="auto" w:fill="auto"/>
                  <w:vAlign w:val="top"/>
                </w:tcPr>
                <w:p>
                  <w:pPr>
                    <w:jc w:val="left"/>
                    <w:rPr>
                      <w:rFonts w:hint="eastAsia"/>
                      <w:sz w:val="18"/>
                      <w:szCs w:val="18"/>
                      <w:highlight w:val="none"/>
                    </w:rPr>
                  </w:pPr>
                  <w:r>
                    <w:rPr>
                      <w:rFonts w:hint="eastAsia"/>
                      <w:sz w:val="18"/>
                      <w:szCs w:val="18"/>
                      <w:highlight w:val="none"/>
                    </w:rPr>
                    <w:t>来自合格供方；</w:t>
                  </w:r>
                </w:p>
                <w:p>
                  <w:pPr>
                    <w:jc w:val="left"/>
                    <w:rPr>
                      <w:rFonts w:hint="eastAsia"/>
                      <w:sz w:val="18"/>
                      <w:szCs w:val="18"/>
                      <w:highlight w:val="none"/>
                    </w:rPr>
                  </w:pPr>
                  <w:r>
                    <w:rPr>
                      <w:rFonts w:hint="eastAsia"/>
                      <w:sz w:val="18"/>
                      <w:szCs w:val="18"/>
                      <w:highlight w:val="none"/>
                    </w:rPr>
                    <w:t>动物检疫证明；</w:t>
                  </w:r>
                </w:p>
                <w:p>
                  <w:pPr>
                    <w:jc w:val="left"/>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合格的产品检测报告</w:t>
                  </w:r>
                </w:p>
              </w:tc>
              <w:tc>
                <w:tcPr>
                  <w:tcW w:w="2120" w:type="dxa"/>
                  <w:shd w:val="clear" w:color="auto" w:fill="auto"/>
                  <w:vAlign w:val="top"/>
                </w:tcPr>
                <w:p>
                  <w:pPr>
                    <w:jc w:val="left"/>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验收员每批查验是否从合格供方采购，每年验证产品安全性报告</w:t>
                  </w:r>
                </w:p>
              </w:tc>
              <w:tc>
                <w:tcPr>
                  <w:tcW w:w="1398" w:type="dxa"/>
                  <w:shd w:val="clear" w:color="auto" w:fill="auto"/>
                  <w:vAlign w:val="top"/>
                </w:tcPr>
                <w:p>
                  <w:pPr>
                    <w:jc w:val="left"/>
                    <w:rPr>
                      <w:rFonts w:ascii="Times New Roman" w:hAnsi="Times New Roman" w:eastAsia="宋体" w:cs="Times New Roman"/>
                      <w:kern w:val="0"/>
                      <w:sz w:val="18"/>
                      <w:szCs w:val="18"/>
                      <w:highlight w:val="none"/>
                      <w:lang w:val="en-US" w:eastAsia="zh-CN" w:bidi="ar-SA"/>
                    </w:rPr>
                  </w:pPr>
                  <w:r>
                    <w:rPr>
                      <w:rFonts w:hint="eastAsia"/>
                      <w:kern w:val="0"/>
                      <w:sz w:val="18"/>
                      <w:szCs w:val="18"/>
                      <w:highlight w:val="none"/>
                    </w:rPr>
                    <w:t>产品进货验收记录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 w:hRule="atLeast"/>
                <w:tblHeader/>
              </w:trPr>
              <w:tc>
                <w:tcPr>
                  <w:tcW w:w="801" w:type="dxa"/>
                  <w:shd w:val="clear" w:color="auto" w:fill="auto"/>
                  <w:vAlign w:val="top"/>
                </w:tcPr>
                <w:p>
                  <w:pPr>
                    <w:pStyle w:val="20"/>
                    <w:rPr>
                      <w:rFonts w:hint="eastAsia" w:ascii="Times New Roman" w:hAnsi="Times New Roman" w:eastAsia="宋体" w:cs="Times New Roman"/>
                      <w:b w:val="0"/>
                      <w:bCs/>
                      <w:snapToGrid w:val="0"/>
                      <w:kern w:val="0"/>
                      <w:sz w:val="18"/>
                      <w:szCs w:val="18"/>
                      <w:highlight w:val="none"/>
                      <w:lang w:val="en-US" w:eastAsia="zh-CN" w:bidi="ar-SA"/>
                    </w:rPr>
                  </w:pPr>
                  <w:r>
                    <w:rPr>
                      <w:rFonts w:hint="eastAsia" w:ascii="Times New Roman" w:hAnsi="Times New Roman" w:cs="Times New Roman"/>
                      <w:b w:val="0"/>
                      <w:highlight w:val="none"/>
                      <w:lang w:val="en-US" w:eastAsia="zh-CN"/>
                    </w:rPr>
                    <w:t>OPRPb</w:t>
                  </w:r>
                </w:p>
              </w:tc>
              <w:tc>
                <w:tcPr>
                  <w:tcW w:w="1124" w:type="dxa"/>
                  <w:shd w:val="clear" w:color="auto" w:fill="auto"/>
                  <w:vAlign w:val="top"/>
                </w:tcPr>
                <w:p>
                  <w:pPr>
                    <w:pStyle w:val="20"/>
                    <w:rPr>
                      <w:rFonts w:hint="eastAsia" w:ascii="Times New Roman" w:hAnsi="Times New Roman" w:eastAsia="宋体" w:cs="Times New Roman"/>
                      <w:b w:val="0"/>
                      <w:bCs w:val="0"/>
                      <w:snapToGrid w:val="0"/>
                      <w:kern w:val="0"/>
                      <w:sz w:val="18"/>
                      <w:szCs w:val="18"/>
                      <w:highlight w:val="none"/>
                      <w:lang w:val="de-DE" w:eastAsia="zh-CN" w:bidi="ar-SA"/>
                    </w:rPr>
                  </w:pPr>
                  <w:r>
                    <w:rPr>
                      <w:rFonts w:hint="eastAsia" w:ascii="宋体" w:hAnsi="宋体"/>
                      <w:b w:val="0"/>
                      <w:bCs w:val="0"/>
                      <w:color w:val="000000"/>
                      <w:sz w:val="18"/>
                      <w:szCs w:val="18"/>
                      <w:highlight w:val="none"/>
                    </w:rPr>
                    <w:t>冷冻水产类的验收</w:t>
                  </w:r>
                </w:p>
              </w:tc>
              <w:tc>
                <w:tcPr>
                  <w:tcW w:w="1825" w:type="dxa"/>
                  <w:shd w:val="clear" w:color="auto" w:fill="auto"/>
                  <w:vAlign w:val="top"/>
                </w:tcPr>
                <w:p>
                  <w:pPr>
                    <w:pStyle w:val="20"/>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Times New Roman" w:hAnsi="Times New Roman" w:cs="Times New Roman"/>
                      <w:b w:val="0"/>
                      <w:bCs w:val="0"/>
                      <w:highlight w:val="none"/>
                      <w:lang w:val="en-US" w:eastAsia="zh-CN"/>
                    </w:rPr>
                    <w:t>病原体存活</w:t>
                  </w:r>
                </w:p>
              </w:tc>
              <w:tc>
                <w:tcPr>
                  <w:tcW w:w="1530" w:type="dxa"/>
                  <w:shd w:val="clear" w:color="auto" w:fill="auto"/>
                  <w:vAlign w:val="top"/>
                </w:tcPr>
                <w:p>
                  <w:pPr>
                    <w:pStyle w:val="20"/>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宋体" w:hAnsi="宋体"/>
                      <w:b w:val="0"/>
                      <w:bCs w:val="0"/>
                      <w:color w:val="000000"/>
                      <w:sz w:val="18"/>
                      <w:szCs w:val="18"/>
                      <w:highlight w:val="none"/>
                    </w:rPr>
                    <w:t>深冷产品＜－18℃</w:t>
                  </w:r>
                </w:p>
              </w:tc>
              <w:tc>
                <w:tcPr>
                  <w:tcW w:w="2120" w:type="dxa"/>
                  <w:shd w:val="clear" w:color="auto" w:fill="auto"/>
                  <w:vAlign w:val="top"/>
                </w:tcPr>
                <w:p>
                  <w:pPr>
                    <w:pStyle w:val="20"/>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Times New Roman" w:hAnsi="Times New Roman" w:cs="Times New Roman"/>
                      <w:b w:val="0"/>
                      <w:bCs w:val="0"/>
                      <w:highlight w:val="none"/>
                      <w:lang w:val="en-US" w:eastAsia="zh-CN"/>
                    </w:rPr>
                    <w:t>品控部人员每批在验收时检测产品中心温度</w:t>
                  </w:r>
                </w:p>
              </w:tc>
              <w:tc>
                <w:tcPr>
                  <w:tcW w:w="1398" w:type="dxa"/>
                  <w:shd w:val="clear" w:color="auto" w:fill="auto"/>
                  <w:vAlign w:val="top"/>
                </w:tcPr>
                <w:p>
                  <w:pPr>
                    <w:pStyle w:val="20"/>
                    <w:jc w:val="both"/>
                    <w:rPr>
                      <w:rFonts w:hint="eastAsia" w:ascii="Times New Roman" w:hAnsi="Times New Roman" w:eastAsia="宋体" w:cs="Times New Roman"/>
                      <w:b w:val="0"/>
                      <w:bCs w:val="0"/>
                      <w:snapToGrid w:val="0"/>
                      <w:kern w:val="0"/>
                      <w:sz w:val="18"/>
                      <w:szCs w:val="18"/>
                      <w:highlight w:val="none"/>
                      <w:lang w:val="en-US" w:eastAsia="zh-CN" w:bidi="ar-SA"/>
                    </w:rPr>
                  </w:pPr>
                  <w:r>
                    <w:rPr>
                      <w:rFonts w:hint="eastAsia" w:ascii="宋体" w:hAnsi="宋体"/>
                      <w:b w:val="0"/>
                      <w:bCs w:val="0"/>
                      <w:snapToGrid w:val="0"/>
                      <w:sz w:val="18"/>
                      <w:szCs w:val="18"/>
                      <w:highlight w:val="none"/>
                    </w:rPr>
                    <w:t>产品进货验收记录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7" w:hRule="atLeast"/>
                <w:tblHeader/>
              </w:trPr>
              <w:tc>
                <w:tcPr>
                  <w:tcW w:w="801" w:type="dxa"/>
                  <w:shd w:val="clear" w:color="auto" w:fill="auto"/>
                  <w:vAlign w:val="top"/>
                </w:tcPr>
                <w:p>
                  <w:pPr>
                    <w:pStyle w:val="20"/>
                    <w:rPr>
                      <w:rFonts w:hint="eastAsia" w:ascii="Times New Roman" w:hAnsi="Times New Roman" w:cs="Times New Roman"/>
                      <w:b w:val="0"/>
                      <w:highlight w:val="none"/>
                      <w:lang w:val="en-US" w:eastAsia="zh-CN"/>
                    </w:rPr>
                  </w:pPr>
                </w:p>
              </w:tc>
              <w:tc>
                <w:tcPr>
                  <w:tcW w:w="1124" w:type="dxa"/>
                  <w:shd w:val="clear" w:color="auto" w:fill="auto"/>
                  <w:vAlign w:val="top"/>
                </w:tcPr>
                <w:p>
                  <w:pPr>
                    <w:pStyle w:val="20"/>
                    <w:rPr>
                      <w:rFonts w:hint="eastAsia" w:ascii="宋体" w:hAnsi="宋体"/>
                      <w:b w:val="0"/>
                      <w:bCs w:val="0"/>
                      <w:color w:val="000000"/>
                      <w:sz w:val="18"/>
                      <w:szCs w:val="18"/>
                      <w:highlight w:val="none"/>
                    </w:rPr>
                  </w:pPr>
                </w:p>
              </w:tc>
              <w:tc>
                <w:tcPr>
                  <w:tcW w:w="1825" w:type="dxa"/>
                  <w:shd w:val="clear" w:color="auto" w:fill="auto"/>
                  <w:vAlign w:val="top"/>
                </w:tcPr>
                <w:p>
                  <w:pPr>
                    <w:pStyle w:val="20"/>
                    <w:rPr>
                      <w:rFonts w:hint="eastAsia" w:ascii="Times New Roman" w:hAnsi="Times New Roman" w:cs="Times New Roman"/>
                      <w:b w:val="0"/>
                      <w:bCs w:val="0"/>
                      <w:highlight w:val="none"/>
                      <w:lang w:val="en-US" w:eastAsia="zh-CN"/>
                    </w:rPr>
                  </w:pPr>
                </w:p>
              </w:tc>
              <w:tc>
                <w:tcPr>
                  <w:tcW w:w="1530" w:type="dxa"/>
                  <w:shd w:val="clear" w:color="auto" w:fill="auto"/>
                  <w:vAlign w:val="top"/>
                </w:tcPr>
                <w:p>
                  <w:pPr>
                    <w:pStyle w:val="20"/>
                    <w:rPr>
                      <w:rFonts w:hint="eastAsia" w:ascii="宋体" w:hAnsi="宋体"/>
                      <w:b w:val="0"/>
                      <w:bCs w:val="0"/>
                      <w:color w:val="000000"/>
                      <w:sz w:val="18"/>
                      <w:szCs w:val="18"/>
                      <w:highlight w:val="none"/>
                    </w:rPr>
                  </w:pPr>
                </w:p>
              </w:tc>
              <w:tc>
                <w:tcPr>
                  <w:tcW w:w="2120" w:type="dxa"/>
                  <w:shd w:val="clear" w:color="auto" w:fill="auto"/>
                  <w:vAlign w:val="top"/>
                </w:tcPr>
                <w:p>
                  <w:pPr>
                    <w:pStyle w:val="20"/>
                    <w:rPr>
                      <w:rFonts w:hint="eastAsia" w:ascii="Times New Roman" w:hAnsi="Times New Roman" w:cs="Times New Roman"/>
                      <w:b w:val="0"/>
                      <w:bCs w:val="0"/>
                      <w:highlight w:val="none"/>
                      <w:lang w:val="en-US" w:eastAsia="zh-CN"/>
                    </w:rPr>
                  </w:pPr>
                </w:p>
              </w:tc>
              <w:tc>
                <w:tcPr>
                  <w:tcW w:w="1398" w:type="dxa"/>
                  <w:shd w:val="clear" w:color="auto" w:fill="auto"/>
                  <w:vAlign w:val="top"/>
                </w:tcPr>
                <w:p>
                  <w:pPr>
                    <w:pStyle w:val="20"/>
                    <w:jc w:val="both"/>
                    <w:rPr>
                      <w:rFonts w:hint="eastAsia" w:ascii="宋体" w:hAnsi="宋体"/>
                      <w:b w:val="0"/>
                      <w:bCs w:val="0"/>
                      <w:snapToGrid w:val="0"/>
                      <w:sz w:val="18"/>
                      <w:szCs w:val="18"/>
                      <w:highlight w:val="none"/>
                    </w:rPr>
                  </w:pPr>
                </w:p>
              </w:tc>
            </w:tr>
          </w:tbl>
          <w:p>
            <w:pPr>
              <w:spacing w:before="240" w:after="120"/>
              <w:rPr>
                <w:rFonts w:hint="default" w:eastAsia="宋体"/>
                <w:u w:val="single"/>
                <w:lang w:val="en-US" w:eastAsia="zh-CN"/>
              </w:rPr>
            </w:pPr>
            <w:r>
              <w:rPr>
                <w:rFonts w:hint="eastAsia"/>
                <w:u w:val="single"/>
                <w:lang w:val="en-US" w:eastAsia="zh-CN"/>
              </w:rPr>
              <w:t>OPRPb 冷冻水产品类经现场沟通确认审核周期内暂无销售，不影响体系的运行，暂不适用，后期销售此类产品再关注。</w:t>
            </w:r>
          </w:p>
          <w:p>
            <w:pPr>
              <w:spacing w:before="240" w:after="120"/>
              <w:rPr>
                <w:rFonts w:hint="eastAsia" w:eastAsia="宋体"/>
                <w:lang w:val="en-GB" w:eastAsia="zh-CN"/>
              </w:rPr>
            </w:pPr>
            <w:r>
              <w:rPr>
                <w:lang w:val="en-GB"/>
              </w:rPr>
              <w:t>HACCP计划1</w:t>
            </w:r>
            <w:r>
              <w:rPr>
                <w:rFonts w:hint="eastAsia"/>
                <w:lang w:val="en-GB" w:eastAsia="zh-CN"/>
              </w:rPr>
              <w:t>：</w:t>
            </w: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82"/>
              <w:gridCol w:w="1253"/>
              <w:gridCol w:w="1133"/>
              <w:gridCol w:w="2305"/>
              <w:gridCol w:w="180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9" w:hRule="atLeast"/>
                <w:tblHeader/>
              </w:trPr>
              <w:tc>
                <w:tcPr>
                  <w:tcW w:w="782" w:type="dxa"/>
                  <w:shd w:val="clear" w:color="auto" w:fill="auto"/>
                </w:tcPr>
                <w:p>
                  <w:pPr>
                    <w:pStyle w:val="20"/>
                    <w:rPr>
                      <w:rFonts w:ascii="Times New Roman" w:hAnsi="Times New Roman" w:cs="Times New Roman"/>
                      <w:b w:val="0"/>
                      <w:bCs w:val="0"/>
                      <w:lang w:eastAsia="zh-CN"/>
                    </w:rPr>
                  </w:pPr>
                  <w:r>
                    <w:rPr>
                      <w:rFonts w:ascii="Times New Roman" w:hAnsi="Times New Roman" w:cs="Times New Roman"/>
                      <w:b w:val="0"/>
                      <w:bCs w:val="0"/>
                      <w:lang w:eastAsia="zh-CN"/>
                    </w:rPr>
                    <w:t>序号</w:t>
                  </w:r>
                </w:p>
              </w:tc>
              <w:tc>
                <w:tcPr>
                  <w:tcW w:w="1253" w:type="dxa"/>
                  <w:shd w:val="clear" w:color="auto" w:fill="auto"/>
                </w:tcPr>
                <w:p>
                  <w:pPr>
                    <w:pStyle w:val="20"/>
                    <w:rPr>
                      <w:rFonts w:ascii="Times New Roman" w:hAnsi="Times New Roman" w:cs="Times New Roman"/>
                      <w:b w:val="0"/>
                      <w:bCs w:val="0"/>
                      <w:lang w:eastAsia="zh-CN"/>
                    </w:rPr>
                  </w:pPr>
                  <w:r>
                    <w:rPr>
                      <w:rFonts w:ascii="Times New Roman" w:hAnsi="Times New Roman" w:cs="Times New Roman"/>
                      <w:b w:val="0"/>
                      <w:bCs w:val="0"/>
                      <w:lang w:eastAsia="zh-CN"/>
                    </w:rPr>
                    <w:t>过程步骤</w:t>
                  </w:r>
                </w:p>
              </w:tc>
              <w:tc>
                <w:tcPr>
                  <w:tcW w:w="1133" w:type="dxa"/>
                  <w:shd w:val="clear" w:color="auto" w:fill="auto"/>
                </w:tcPr>
                <w:p>
                  <w:pPr>
                    <w:pStyle w:val="20"/>
                    <w:rPr>
                      <w:rFonts w:ascii="Times New Roman" w:hAnsi="Times New Roman" w:cs="Times New Roman"/>
                      <w:b w:val="0"/>
                      <w:bCs w:val="0"/>
                      <w:lang w:eastAsia="zh-CN"/>
                    </w:rPr>
                  </w:pPr>
                  <w:r>
                    <w:rPr>
                      <w:rFonts w:hint="eastAsia" w:ascii="Times New Roman" w:hAnsi="Times New Roman" w:cs="Times New Roman"/>
                      <w:b w:val="0"/>
                      <w:bCs w:val="0"/>
                      <w:lang w:val="en-US" w:eastAsia="zh-CN"/>
                    </w:rPr>
                    <w:t>显著危害</w:t>
                  </w:r>
                </w:p>
              </w:tc>
              <w:tc>
                <w:tcPr>
                  <w:tcW w:w="2305" w:type="dxa"/>
                  <w:shd w:val="clear" w:color="auto" w:fill="auto"/>
                </w:tcPr>
                <w:p>
                  <w:pPr>
                    <w:pStyle w:val="20"/>
                    <w:rPr>
                      <w:rFonts w:ascii="Times New Roman" w:hAnsi="Times New Roman" w:cs="Times New Roman"/>
                      <w:b w:val="0"/>
                      <w:bCs w:val="0"/>
                      <w:lang w:val="fr-FR" w:eastAsia="zh-CN"/>
                    </w:rPr>
                  </w:pPr>
                  <w:r>
                    <w:rPr>
                      <w:rFonts w:ascii="Times New Roman" w:hAnsi="Times New Roman" w:cs="Times New Roman"/>
                      <w:b w:val="0"/>
                      <w:bCs w:val="0"/>
                      <w:lang w:val="fr-FR" w:eastAsia="zh-CN"/>
                    </w:rPr>
                    <w:t>关键限值</w:t>
                  </w:r>
                </w:p>
              </w:tc>
              <w:tc>
                <w:tcPr>
                  <w:tcW w:w="1807" w:type="dxa"/>
                  <w:shd w:val="clear" w:color="auto" w:fill="auto"/>
                </w:tcPr>
                <w:p>
                  <w:pPr>
                    <w:pStyle w:val="20"/>
                    <w:rPr>
                      <w:rFonts w:ascii="Times New Roman" w:hAnsi="Times New Roman" w:cs="Times New Roman"/>
                      <w:b w:val="0"/>
                      <w:bCs w:val="0"/>
                      <w:lang w:val="fr-FR" w:eastAsia="zh-CN"/>
                    </w:rPr>
                  </w:pPr>
                  <w:r>
                    <w:rPr>
                      <w:rFonts w:ascii="Times New Roman" w:hAnsi="Times New Roman" w:cs="Times New Roman"/>
                      <w:b w:val="0"/>
                      <w:bCs w:val="0"/>
                      <w:lang w:eastAsia="zh-CN"/>
                    </w:rPr>
                    <w:t>监控程序</w:t>
                  </w:r>
                </w:p>
              </w:tc>
              <w:tc>
                <w:tcPr>
                  <w:tcW w:w="1416" w:type="dxa"/>
                  <w:shd w:val="clear" w:color="auto" w:fill="auto"/>
                </w:tcPr>
                <w:p>
                  <w:pPr>
                    <w:pStyle w:val="20"/>
                    <w:jc w:val="both"/>
                    <w:rPr>
                      <w:rFonts w:ascii="Times New Roman" w:hAnsi="Times New Roman" w:cs="Times New Roman"/>
                      <w:b w:val="0"/>
                      <w:bCs w:val="0"/>
                      <w:lang w:val="en-US" w:eastAsia="zh-CN"/>
                    </w:rPr>
                  </w:pPr>
                  <w:r>
                    <w:rPr>
                      <w:rFonts w:ascii="Times New Roman" w:hAnsi="Times New Roman" w:cs="Times New Roman"/>
                      <w:b w:val="0"/>
                      <w:bCs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4" w:hRule="atLeast"/>
              </w:trPr>
              <w:tc>
                <w:tcPr>
                  <w:tcW w:w="78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CCP1</w:t>
                  </w:r>
                </w:p>
              </w:tc>
              <w:tc>
                <w:tcPr>
                  <w:tcW w:w="125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禽肉类原料的冷冻、冷藏储存</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病原体存活</w:t>
                  </w:r>
                </w:p>
              </w:tc>
              <w:tc>
                <w:tcPr>
                  <w:tcW w:w="2305" w:type="dxa"/>
                  <w:tcBorders>
                    <w:top w:val="single" w:color="auto" w:sz="4" w:space="0"/>
                    <w:left w:val="single" w:color="auto" w:sz="4" w:space="0"/>
                    <w:bottom w:val="single" w:color="auto" w:sz="4" w:space="0"/>
                    <w:right w:val="single" w:color="auto" w:sz="4" w:space="0"/>
                  </w:tcBorders>
                  <w:shd w:val="clear" w:color="auto" w:fill="auto"/>
                </w:tcPr>
                <w:p>
                  <w:pPr>
                    <w:spacing w:line="220" w:lineRule="exact"/>
                    <w:jc w:val="both"/>
                    <w:rPr>
                      <w:rFonts w:hint="eastAsia" w:ascii="宋体" w:hAnsi="宋体" w:eastAsia="宋体"/>
                      <w:sz w:val="18"/>
                      <w:szCs w:val="18"/>
                      <w:lang w:eastAsia="zh-CN"/>
                    </w:rPr>
                  </w:pPr>
                  <w:r>
                    <w:rPr>
                      <w:rFonts w:hint="eastAsia" w:ascii="宋体" w:hAnsi="宋体"/>
                      <w:sz w:val="18"/>
                      <w:szCs w:val="18"/>
                    </w:rPr>
                    <w:t>冻结库温度</w:t>
                  </w:r>
                  <w:r>
                    <w:rPr>
                      <w:rFonts w:hint="eastAsia" w:ascii="宋体" w:hAnsi="宋体"/>
                      <w:sz w:val="18"/>
                      <w:szCs w:val="18"/>
                      <w:lang w:eastAsia="zh-CN"/>
                    </w:rPr>
                    <w:t>：</w:t>
                  </w:r>
                </w:p>
                <w:p>
                  <w:pPr>
                    <w:jc w:val="left"/>
                    <w:rPr>
                      <w:rFonts w:hint="eastAsia" w:ascii="宋体" w:hAnsi="宋体"/>
                      <w:sz w:val="18"/>
                      <w:szCs w:val="18"/>
                    </w:rPr>
                  </w:pPr>
                  <w:r>
                    <w:rPr>
                      <w:rFonts w:hint="eastAsia" w:ascii="宋体" w:hAnsi="宋体"/>
                      <w:sz w:val="18"/>
                      <w:szCs w:val="18"/>
                    </w:rPr>
                    <w:t>-15</w:t>
                  </w:r>
                  <w:r>
                    <w:rPr>
                      <w:sz w:val="18"/>
                      <w:szCs w:val="18"/>
                    </w:rPr>
                    <w:t>~</w:t>
                  </w:r>
                  <w:r>
                    <w:rPr>
                      <w:rFonts w:hint="eastAsia" w:ascii="宋体" w:hAnsi="宋体"/>
                      <w:sz w:val="18"/>
                      <w:szCs w:val="18"/>
                    </w:rPr>
                    <w:t>-20℃以下。</w:t>
                  </w:r>
                </w:p>
                <w:p>
                  <w:pPr>
                    <w:jc w:val="left"/>
                    <w:rPr>
                      <w:sz w:val="18"/>
                      <w:szCs w:val="18"/>
                      <w:lang w:val="fr-FR"/>
                    </w:rPr>
                  </w:pPr>
                  <w:r>
                    <w:rPr>
                      <w:rFonts w:hint="eastAsia" w:ascii="宋体" w:hAnsi="宋体"/>
                      <w:sz w:val="18"/>
                      <w:szCs w:val="18"/>
                    </w:rPr>
                    <w:t>冷藏库温度保持0~</w:t>
                  </w:r>
                  <w:r>
                    <w:rPr>
                      <w:rFonts w:ascii="宋体" w:hAnsi="宋体"/>
                      <w:sz w:val="18"/>
                      <w:szCs w:val="18"/>
                    </w:rPr>
                    <w:t>1</w:t>
                  </w:r>
                  <w:r>
                    <w:rPr>
                      <w:rFonts w:hint="eastAsia" w:ascii="宋体" w:hAnsi="宋体"/>
                      <w:sz w:val="18"/>
                      <w:szCs w:val="18"/>
                    </w:rPr>
                    <w:t>0℃</w:t>
                  </w:r>
                </w:p>
              </w:tc>
              <w:tc>
                <w:tcPr>
                  <w:tcW w:w="1807"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仓管员每天监控冷藏库、冷冻库温度</w:t>
                  </w:r>
                </w:p>
              </w:tc>
              <w:tc>
                <w:tcPr>
                  <w:tcW w:w="14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highlight w:val="none"/>
                      <w:lang w:eastAsia="zh-CN"/>
                    </w:rPr>
                    <w:t>《</w:t>
                  </w:r>
                  <w:r>
                    <w:rPr>
                      <w:rFonts w:hint="eastAsia"/>
                      <w:sz w:val="18"/>
                      <w:szCs w:val="18"/>
                      <w:highlight w:val="none"/>
                      <w:lang w:val="en-US" w:eastAsia="zh-CN"/>
                    </w:rPr>
                    <w:t>冷冻库冷藏库温度监控记录</w:t>
                  </w:r>
                  <w:r>
                    <w:rPr>
                      <w:rFonts w:hint="eastAsia"/>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53" w:hRule="atLeast"/>
              </w:trPr>
              <w:tc>
                <w:tcPr>
                  <w:tcW w:w="782"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w:t>
                  </w:r>
                  <w:r>
                    <w:rPr>
                      <w:sz w:val="18"/>
                      <w:szCs w:val="18"/>
                    </w:rPr>
                    <w:t>2</w:t>
                  </w:r>
                </w:p>
              </w:tc>
              <w:tc>
                <w:tcPr>
                  <w:tcW w:w="125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配送</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sz w:val="18"/>
                      <w:szCs w:val="18"/>
                      <w:lang w:val="fr-FR"/>
                    </w:rPr>
                    <w:t>病原体存活</w:t>
                  </w:r>
                </w:p>
              </w:tc>
              <w:tc>
                <w:tcPr>
                  <w:tcW w:w="2305"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eastAsia="宋体"/>
                      <w:sz w:val="18"/>
                      <w:szCs w:val="18"/>
                      <w:lang w:eastAsia="zh-CN"/>
                    </w:rPr>
                  </w:pPr>
                  <w:r>
                    <w:rPr>
                      <w:rFonts w:hint="eastAsia"/>
                      <w:sz w:val="18"/>
                      <w:szCs w:val="18"/>
                    </w:rPr>
                    <w:t>温度不高于10~15℃（冷鲜产品冷藏）</w:t>
                  </w:r>
                  <w:r>
                    <w:rPr>
                      <w:rFonts w:hint="eastAsia"/>
                      <w:sz w:val="18"/>
                      <w:szCs w:val="18"/>
                      <w:lang w:eastAsia="zh-CN"/>
                    </w:rPr>
                    <w:t>；</w:t>
                  </w:r>
                  <w:r>
                    <w:rPr>
                      <w:rFonts w:hint="eastAsia"/>
                      <w:sz w:val="18"/>
                      <w:szCs w:val="18"/>
                    </w:rPr>
                    <w:t>温度不高于0度（冷冻产品）</w:t>
                  </w:r>
                  <w:r>
                    <w:rPr>
                      <w:rFonts w:hint="eastAsia"/>
                      <w:sz w:val="18"/>
                      <w:szCs w:val="18"/>
                      <w:lang w:eastAsia="zh-CN"/>
                    </w:rPr>
                    <w:t>；</w:t>
                  </w:r>
                </w:p>
              </w:tc>
              <w:tc>
                <w:tcPr>
                  <w:tcW w:w="180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配送员每车感官检查</w:t>
                  </w:r>
                  <w:r>
                    <w:rPr>
                      <w:rFonts w:hint="eastAsia" w:ascii="宋体" w:hAnsi="宋体"/>
                      <w:sz w:val="18"/>
                      <w:szCs w:val="18"/>
                    </w:rPr>
                    <w:t>及温度测量</w:t>
                  </w:r>
                </w:p>
              </w:tc>
              <w:tc>
                <w:tcPr>
                  <w:tcW w:w="141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lang w:eastAsia="zh-CN"/>
                    </w:rPr>
                    <w:t>《</w:t>
                  </w:r>
                  <w:r>
                    <w:rPr>
                      <w:rFonts w:hint="eastAsia"/>
                      <w:sz w:val="18"/>
                      <w:szCs w:val="18"/>
                      <w:lang w:val="en-US" w:eastAsia="zh-CN"/>
                    </w:rPr>
                    <w:t>配送单</w:t>
                  </w:r>
                  <w:r>
                    <w:rPr>
                      <w:rFonts w:hint="eastAsia"/>
                      <w:sz w:val="18"/>
                      <w:szCs w:val="18"/>
                      <w:lang w:eastAsia="zh-CN"/>
                    </w:rPr>
                    <w:t>》</w:t>
                  </w:r>
                </w:p>
              </w:tc>
            </w:tr>
          </w:tbl>
          <w:p>
            <w:pPr>
              <w:rPr>
                <w:rFonts w:hint="default" w:eastAsia="宋体"/>
                <w:lang w:val="en-US" w:eastAsia="zh-CN"/>
              </w:rPr>
            </w:pP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057" w:hRule="atLeast"/>
        </w:trPr>
        <w:tc>
          <w:tcPr>
            <w:tcW w:w="2174" w:type="dxa"/>
            <w:gridSpan w:val="2"/>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9255"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90" w:type="dxa"/>
            <w:gridSpan w:val="2"/>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794" w:hRule="atLeast"/>
        </w:trPr>
        <w:tc>
          <w:tcPr>
            <w:tcW w:w="2174" w:type="dxa"/>
            <w:gridSpan w:val="2"/>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9255" w:type="dxa"/>
            <w:shd w:val="clear" w:color="auto" w:fill="auto"/>
          </w:tcPr>
          <w:p>
            <w:r>
              <w:t>OPRP的实施情况：</w:t>
            </w:r>
            <w:r>
              <w:rPr>
                <w:rFonts w:hint="eastAsia"/>
                <w:b/>
                <w:bCs/>
              </w:rPr>
              <w:t>（见市场部审核记录）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r>
              <w:t>HACCP的实施情况：</w:t>
            </w:r>
            <w:r>
              <w:rPr>
                <w:rFonts w:hint="eastAsia"/>
              </w:rPr>
              <w:t>（见市场部审核记录）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590" w:type="dxa"/>
            <w:gridSpan w:val="2"/>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936"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制定OPRP计划和（或） HACCP计划后， 组织对如下信息进行更新：</w:t>
            </w:r>
          </w:p>
          <w:p>
            <w:r>
              <w:rPr/>
              <w:sym w:font="Wingdings" w:char="00FE"/>
            </w:r>
            <w:r>
              <w:rPr>
                <w:rFonts w:hint="eastAsia"/>
                <w:lang w:val="en-US" w:eastAsia="zh-CN"/>
              </w:rPr>
              <w:t>审核周期内</w:t>
            </w:r>
            <w:r>
              <w:t>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46" w:hRule="atLeast"/>
        </w:trPr>
        <w:tc>
          <w:tcPr>
            <w:tcW w:w="2174" w:type="dxa"/>
            <w:gridSpan w:val="2"/>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9255"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590" w:type="dxa"/>
            <w:gridSpan w:val="2"/>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szCs w:val="21"/>
                    </w:rPr>
                    <w:t>首次运行</w:t>
                  </w:r>
                  <w:r>
                    <w:rPr>
                      <w:rFonts w:hint="eastAsia"/>
                      <w:szCs w:val="21"/>
                    </w:rPr>
                    <w:t>、</w:t>
                  </w:r>
                  <w:r>
                    <w:rPr>
                      <w:szCs w:val="21"/>
                    </w:rPr>
                    <w:t>变更后</w:t>
                  </w:r>
                  <w:r>
                    <w:rPr>
                      <w:rFonts w:hint="eastAsia"/>
                      <w:szCs w:val="21"/>
                    </w:rPr>
                    <w:t>、定期确认</w:t>
                  </w:r>
                </w:p>
              </w:tc>
              <w:tc>
                <w:tcPr>
                  <w:tcW w:w="1809" w:type="dxa"/>
                </w:tcPr>
                <w:p>
                  <w:pPr>
                    <w:rPr>
                      <w:szCs w:val="21"/>
                    </w:rPr>
                  </w:pPr>
                  <w:r>
                    <w:rPr>
                      <w:rFonts w:hint="eastAsia"/>
                      <w:szCs w:val="21"/>
                    </w:rPr>
                    <w:t>食品安全</w:t>
                  </w:r>
                  <w:r>
                    <w:rPr>
                      <w:szCs w:val="21"/>
                    </w:rPr>
                    <w:t>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w:t>
                  </w:r>
                  <w:r>
                    <w:rPr>
                      <w:szCs w:val="21"/>
                    </w:rPr>
                    <w:t>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w:t>
                  </w:r>
                  <w:r>
                    <w:rPr>
                      <w:szCs w:val="21"/>
                    </w:rPr>
                    <w:t>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rFonts w:hint="eastAsia"/>
                      <w:szCs w:val="21"/>
                    </w:rPr>
                    <w:t>自行检查</w:t>
                  </w:r>
                </w:p>
              </w:tc>
              <w:tc>
                <w:tcPr>
                  <w:tcW w:w="1962" w:type="dxa"/>
                </w:tcPr>
                <w:p>
                  <w:pPr>
                    <w:rPr>
                      <w:szCs w:val="21"/>
                    </w:rPr>
                  </w:pPr>
                  <w:r>
                    <w:rPr>
                      <w:szCs w:val="21"/>
                    </w:rPr>
                    <w:t>首次运行</w:t>
                  </w:r>
                  <w:r>
                    <w:rPr>
                      <w:rFonts w:hint="eastAsia"/>
                      <w:szCs w:val="21"/>
                    </w:rPr>
                    <w:t>、</w:t>
                  </w:r>
                  <w:r>
                    <w:rPr>
                      <w:szCs w:val="21"/>
                    </w:rPr>
                    <w:t>变更后</w:t>
                  </w:r>
                  <w:r>
                    <w:rPr>
                      <w:rFonts w:hint="eastAsia"/>
                      <w:szCs w:val="21"/>
                    </w:rPr>
                    <w:t>、定期确认</w:t>
                  </w:r>
                </w:p>
              </w:tc>
              <w:tc>
                <w:tcPr>
                  <w:tcW w:w="1809" w:type="dxa"/>
                </w:tcPr>
                <w:p>
                  <w:pPr>
                    <w:rPr>
                      <w:szCs w:val="21"/>
                    </w:rPr>
                  </w:pPr>
                  <w:r>
                    <w:rPr>
                      <w:rFonts w:hint="eastAsia"/>
                      <w:szCs w:val="21"/>
                    </w:rPr>
                    <w:t>食品安全</w:t>
                  </w:r>
                  <w:r>
                    <w:rPr>
                      <w:szCs w:val="21"/>
                    </w:rPr>
                    <w:t>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Pr>
              <w:rPr>
                <w:rFonts w:hint="eastAsia"/>
                <w:lang w:val="en-US" w:eastAsia="zh-CN"/>
              </w:rPr>
            </w:pPr>
            <w:r>
              <w:rPr>
                <w:rFonts w:hint="eastAsia"/>
                <w:lang w:val="en-US" w:eastAsia="zh-CN"/>
              </w:rPr>
              <w:t>主要以清洁为主，见市场部审核记录。</w:t>
            </w:r>
          </w:p>
          <w:p>
            <w:pPr>
              <w:pStyle w:val="2"/>
              <w:rPr>
                <w:rFonts w:hint="default"/>
                <w:lang w:val="en-US" w:eastAsia="zh-CN"/>
              </w:rPr>
            </w:pPr>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Pr>
              <w:rPr>
                <w:rFonts w:hint="default" w:eastAsia="宋体"/>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9255"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rFonts w:hint="eastAsia"/>
                <w:b/>
                <w:bCs/>
                <w:szCs w:val="21"/>
                <w:u w:val="single"/>
                <w:lang w:val="en-US" w:eastAsia="zh-CN"/>
              </w:rPr>
              <w:t>2</w:t>
            </w:r>
            <w:r>
              <w:rPr>
                <w:rFonts w:hint="eastAsia"/>
                <w:b/>
                <w:bCs/>
                <w:szCs w:val="21"/>
                <w:u w:val="single"/>
              </w:rPr>
              <w:t>-</w:t>
            </w:r>
            <w:r>
              <w:rPr>
                <w:b/>
                <w:bCs/>
                <w:szCs w:val="21"/>
                <w:u w:val="single"/>
              </w:rPr>
              <w:t>01</w:t>
            </w:r>
            <w:r>
              <w:rPr>
                <w:rFonts w:hint="eastAsia"/>
                <w:b/>
                <w:bCs/>
                <w:szCs w:val="21"/>
                <w:u w:val="single"/>
              </w:rPr>
              <w:t>-</w:t>
            </w:r>
            <w:r>
              <w:rPr>
                <w:b/>
                <w:bCs/>
                <w:szCs w:val="21"/>
                <w:u w:val="single"/>
              </w:rPr>
              <w:t>1</w:t>
            </w:r>
            <w:r>
              <w:rPr>
                <w:rFonts w:hint="eastAsia"/>
                <w:b/>
                <w:bCs/>
                <w:szCs w:val="21"/>
                <w:u w:val="single"/>
                <w:lang w:val="en-US" w:eastAsia="zh-CN"/>
              </w:rPr>
              <w:t>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w:t>
            </w:r>
            <w:r>
              <w:rPr>
                <w:rFonts w:hint="eastAsia"/>
                <w:b/>
                <w:bCs/>
                <w:szCs w:val="21"/>
                <w:u w:val="single"/>
                <w:lang w:val="en-US" w:eastAsia="zh-CN"/>
              </w:rPr>
              <w:t>危害控制计划验证记录</w:t>
            </w:r>
            <w:r>
              <w:rPr>
                <w:rFonts w:hint="eastAsia"/>
                <w:b/>
                <w:bCs/>
                <w:szCs w:val="21"/>
                <w:u w:val="single"/>
              </w:rPr>
              <w:t>》，202</w:t>
            </w:r>
            <w:r>
              <w:rPr>
                <w:rFonts w:hint="eastAsia"/>
                <w:b/>
                <w:bCs/>
                <w:szCs w:val="21"/>
                <w:u w:val="single"/>
                <w:lang w:val="en-US" w:eastAsia="zh-CN"/>
              </w:rPr>
              <w:t>2-0</w:t>
            </w:r>
            <w:r>
              <w:rPr>
                <w:b/>
                <w:bCs/>
                <w:szCs w:val="21"/>
                <w:u w:val="single"/>
              </w:rPr>
              <w:t>1</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rFonts w:hint="default" w:eastAsia="宋体"/>
                <w:b/>
                <w:bCs/>
                <w:szCs w:val="21"/>
                <w:u w:val="single"/>
                <w:lang w:val="en-US" w:eastAsia="zh-CN"/>
              </w:rPr>
            </w:pPr>
            <w:r>
              <w:rPr>
                <w:b/>
                <w:bCs/>
                <w:szCs w:val="21"/>
                <w:u w:val="single"/>
              </w:rPr>
              <w:t>《验证活动结果分析报告》，</w:t>
            </w:r>
            <w:r>
              <w:rPr>
                <w:rFonts w:hint="eastAsia"/>
                <w:b/>
                <w:bCs/>
                <w:szCs w:val="21"/>
                <w:u w:val="single"/>
              </w:rPr>
              <w:t>202</w:t>
            </w:r>
            <w:r>
              <w:rPr>
                <w:rFonts w:hint="eastAsia"/>
                <w:b/>
                <w:bCs/>
                <w:szCs w:val="21"/>
                <w:u w:val="single"/>
                <w:lang w:val="en-US" w:eastAsia="zh-CN"/>
              </w:rPr>
              <w:t>2</w:t>
            </w:r>
            <w:r>
              <w:rPr>
                <w:rFonts w:hint="eastAsia"/>
                <w:b/>
                <w:bCs/>
                <w:szCs w:val="21"/>
                <w:u w:val="single"/>
              </w:rPr>
              <w:t>-0</w:t>
            </w:r>
            <w:r>
              <w:rPr>
                <w:rFonts w:hint="eastAsia"/>
                <w:b/>
                <w:bCs/>
                <w:szCs w:val="21"/>
                <w:u w:val="single"/>
                <w:lang w:val="en-US" w:eastAsia="zh-CN"/>
              </w:rPr>
              <w:t>1</w:t>
            </w:r>
            <w:r>
              <w:rPr>
                <w:rFonts w:hint="eastAsia"/>
                <w:b/>
                <w:bCs/>
                <w:szCs w:val="21"/>
                <w:u w:val="single"/>
              </w:rPr>
              <w:t>-</w:t>
            </w:r>
            <w:r>
              <w:rPr>
                <w:rFonts w:hint="eastAsia"/>
                <w:b/>
                <w:bCs/>
                <w:szCs w:val="21"/>
                <w:u w:val="single"/>
                <w:lang w:val="en-US" w:eastAsia="zh-CN"/>
              </w:rPr>
              <w:t>15</w:t>
            </w:r>
            <w:r>
              <w:rPr>
                <w:rFonts w:hint="eastAsia"/>
                <w:b/>
                <w:bCs/>
                <w:szCs w:val="21"/>
                <w:u w:val="single"/>
              </w:rPr>
              <w:t>，结论：控制有效</w:t>
            </w:r>
          </w:p>
          <w:p>
            <w:pPr>
              <w:rPr>
                <w:rFonts w:hint="default" w:eastAsia="宋体"/>
                <w:lang w:val="en-US" w:eastAsia="zh-CN"/>
              </w:rPr>
            </w:pPr>
            <w:r>
              <w:rPr>
                <w:rFonts w:hint="eastAsia"/>
                <w:lang w:val="en-US" w:eastAsia="zh-CN"/>
              </w:rPr>
              <w:t>策划时间不合理，已现场沟通后期改进。</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tcPr>
          <w:p>
            <w:r>
              <w:t>分析与评价</w:t>
            </w:r>
          </w:p>
        </w:tc>
        <w:tc>
          <w:tcPr>
            <w:tcW w:w="936" w:type="dxa"/>
            <w:vMerge w:val="restart"/>
          </w:tcPr>
          <w:p>
            <w:r>
              <w:t>F9.1.2</w:t>
            </w:r>
          </w:p>
        </w:tc>
        <w:tc>
          <w:tcPr>
            <w:tcW w:w="745" w:type="dxa"/>
          </w:tcPr>
          <w:p>
            <w:r>
              <w:t>文件名称</w:t>
            </w:r>
          </w:p>
        </w:tc>
        <w:tc>
          <w:tcPr>
            <w:tcW w:w="9255"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590" w:type="dxa"/>
            <w:gridSpan w:val="2"/>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590" w:hRule="atLeast"/>
        </w:trPr>
        <w:tc>
          <w:tcPr>
            <w:tcW w:w="2174" w:type="dxa"/>
            <w:gridSpan w:val="2"/>
            <w:vMerge w:val="continue"/>
          </w:tcPr>
          <w:p/>
        </w:tc>
        <w:tc>
          <w:tcPr>
            <w:tcW w:w="936" w:type="dxa"/>
            <w:vMerge w:val="continue"/>
          </w:tcPr>
          <w:p/>
        </w:tc>
        <w:tc>
          <w:tcPr>
            <w:tcW w:w="745" w:type="dxa"/>
          </w:tcPr>
          <w:p>
            <w:r>
              <w:t>运行证据</w:t>
            </w:r>
          </w:p>
        </w:tc>
        <w:tc>
          <w:tcPr>
            <w:tcW w:w="9255"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t>☑</w:t>
            </w:r>
            <w:r>
              <w:rPr>
                <w:color w:val="000000"/>
                <w:szCs w:val="21"/>
              </w:rPr>
              <w:t>其他</w:t>
            </w:r>
            <w:r>
              <w:rPr>
                <w:rFonts w:hint="eastAsia"/>
                <w:color w:val="000000"/>
                <w:szCs w:val="21"/>
                <w:lang w:eastAsia="zh-CN"/>
              </w:rPr>
              <w:t>——</w:t>
            </w:r>
            <w:r>
              <w:rPr>
                <w:rFonts w:hint="eastAsia"/>
                <w:color w:val="000000"/>
                <w:szCs w:val="21"/>
                <w:lang w:val="en-US" w:eastAsia="zh-CN"/>
              </w:rPr>
              <w:t>数据EXCEL统计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rPr>
                <w:u w:val="single"/>
              </w:rPr>
              <w:t>见《验证结果分析报告》</w:t>
            </w:r>
          </w:p>
        </w:tc>
        <w:tc>
          <w:tcPr>
            <w:tcW w:w="1590" w:type="dxa"/>
            <w:gridSpan w:val="2"/>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8"/>
        <w:rFonts w:hint="default"/>
      </w:rPr>
    </w:pPr>
    <w:r>
      <w:drawing>
        <wp:anchor distT="0" distB="0" distL="114300" distR="114300" simplePos="0" relativeHeight="251660288" behindDoc="0" locked="0" layoutInCell="1" allowOverlap="1">
          <wp:simplePos x="0" y="0"/>
          <wp:positionH relativeFrom="column">
            <wp:posOffset>46355</wp:posOffset>
          </wp:positionH>
          <wp:positionV relativeFrom="paragraph">
            <wp:posOffset>21590</wp:posOffset>
          </wp:positionV>
          <wp:extent cx="418465" cy="421005"/>
          <wp:effectExtent l="0" t="0" r="635"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18465" cy="421005"/>
                  </a:xfrm>
                  <a:prstGeom prst="rect">
                    <a:avLst/>
                  </a:prstGeom>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7108825</wp:posOffset>
              </wp:positionH>
              <wp:positionV relativeFrom="paragraph">
                <wp:posOffset>34290</wp:posOffset>
              </wp:positionV>
              <wp:extent cx="1391285" cy="256540"/>
              <wp:effectExtent l="0" t="0" r="5715" b="10160"/>
              <wp:wrapNone/>
              <wp:docPr id="2" name="文本框 1"/>
              <wp:cNvGraphicFramePr/>
              <a:graphic xmlns:a="http://schemas.openxmlformats.org/drawingml/2006/main">
                <a:graphicData uri="http://schemas.microsoft.com/office/word/2010/wordprocessingShape">
                  <wps:wsp>
                    <wps:cNvSpPr txBox="1"/>
                    <wps:spPr>
                      <a:xfrm>
                        <a:off x="0" y="0"/>
                        <a:ext cx="139128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 xml:space="preserve">5 </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75pt;margin-top:2.7pt;height:20.2pt;width:109.55pt;z-index:251659264;mso-width-relative:page;mso-height-relative:page;" fillcolor="#FFFFFF" filled="t" stroked="f" coordsize="21600,21600" o:gfxdata="UEsDBAoAAAAAAIdO4kAAAAAAAAAAAAAAAAAEAAAAZHJzL1BLAwQUAAAACACHTuJAu+Aq6tgAAAAK&#10;AQAADwAAAGRycy9kb3ducmV2LnhtbE2PQW6DMBBF95V6B2sqdVM1hgYIIZhIrdSq26Q5wIAngILH&#10;CDshuX2dVbv8mqf/35TbqxnEhSbXW1YQLyIQxI3VPbcKDj+frzkI55E1DpZJwY0cbKvHhxILbWfe&#10;0WXvWxFK2BWooPN+LKR0TUcG3cKOxOF2tJNBH+LUSj3hHMrNIN+iKJMGew4LHY700VFz2p+NguP3&#10;/JKu5/rLH1a7JHvHflXbm1LPT3G0AeHp6v9guOsHdaiCU23PrJ0YQo7jdRpYBWkC4g4sl3kGolaQ&#10;pDnIqpT/X6h+AVBLAwQUAAAACACHTuJAl5W6WtABAACOAwAADgAAAGRycy9lMm9Eb2MueG1srVPB&#10;jtMwEL0j8Q+W7zRtIKvdqOlKUJULAqRdPsB17MSS7bFst0l/AP6AExfufFe/g7GTLcty2QM5JGPP&#10;zJt5bybr29FochQ+KLANXS2WlAjLoVW2a+iX+92ra0pCZLZlGqxo6EkEert5+WI9uFqU0INuhScI&#10;YkM9uIb2Mbq6KALvhWFhAU5YdErwhkU8+q5oPRsQ3eiiXC6vigF86zxwEQLebicnnRH9cwBBSsXF&#10;FvjBCBsnVC80i0gp9MoFusndSil4/CRlEJHohiLTmN9YBO19ehebNas7z1yv+NwCe04LTzgZpiwW&#10;vUBtWWTk4NU/UEZxDwFkXHAwxUQkK4IsVssn2tz1zInMBaUO7iJ6+H+w/OPxsyeqbWhJiWUGB37+&#10;/u3849f551eySvIMLtQYdecwLo5vYcSlebgPeJlYj9Kb9EU+BP0o7ukirhgj4Snp9c2qvK4o4egr&#10;q6vqTVa/+JPtfIjvBRiSjIZ6HF7WlB0/hIidYOhDSCoWQKt2p7TOB9/t32lPjgwHvctPahJT/grT&#10;lgwNvanKKiNbSPlTnLYJR+Sdmesl6hPFZMVxP8567KE9oRwH51XXY6tZkCIF4Zhy1Xml0h48PqP9&#10;+Dfa/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74Crq2AAAAAoBAAAPAAAAAAAAAAEAIAAAACIA&#10;AABkcnMvZG93bnJldi54bWxQSwECFAAUAAAACACHTuJAl5W6WtABAACOAwAADgAAAAAAAAABACAA&#10;AAAn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 xml:space="preserve">5 </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939"/>
    <w:rsid w:val="001126B5"/>
    <w:rsid w:val="0013663D"/>
    <w:rsid w:val="0015105E"/>
    <w:rsid w:val="001607F2"/>
    <w:rsid w:val="00170956"/>
    <w:rsid w:val="001A2D7F"/>
    <w:rsid w:val="001C015D"/>
    <w:rsid w:val="001C4036"/>
    <w:rsid w:val="001C7883"/>
    <w:rsid w:val="0021056A"/>
    <w:rsid w:val="00210D0D"/>
    <w:rsid w:val="00215F05"/>
    <w:rsid w:val="0022272E"/>
    <w:rsid w:val="00224211"/>
    <w:rsid w:val="002250A0"/>
    <w:rsid w:val="002420F1"/>
    <w:rsid w:val="00246A39"/>
    <w:rsid w:val="00254E48"/>
    <w:rsid w:val="00255D00"/>
    <w:rsid w:val="00257FEC"/>
    <w:rsid w:val="0026762B"/>
    <w:rsid w:val="00290D09"/>
    <w:rsid w:val="002939AD"/>
    <w:rsid w:val="002A4523"/>
    <w:rsid w:val="002A4A77"/>
    <w:rsid w:val="002A5E14"/>
    <w:rsid w:val="002A76D8"/>
    <w:rsid w:val="00307AF7"/>
    <w:rsid w:val="003108C2"/>
    <w:rsid w:val="003138A8"/>
    <w:rsid w:val="00314AF6"/>
    <w:rsid w:val="0032578F"/>
    <w:rsid w:val="00327D4A"/>
    <w:rsid w:val="00337922"/>
    <w:rsid w:val="00340867"/>
    <w:rsid w:val="00353F23"/>
    <w:rsid w:val="003565F6"/>
    <w:rsid w:val="003755E6"/>
    <w:rsid w:val="00376ADE"/>
    <w:rsid w:val="00380837"/>
    <w:rsid w:val="0038228C"/>
    <w:rsid w:val="0038333F"/>
    <w:rsid w:val="003A198A"/>
    <w:rsid w:val="003B25F1"/>
    <w:rsid w:val="003B5481"/>
    <w:rsid w:val="003C7386"/>
    <w:rsid w:val="003E385C"/>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59B4"/>
    <w:rsid w:val="004B2CE4"/>
    <w:rsid w:val="004B6333"/>
    <w:rsid w:val="004C0FDE"/>
    <w:rsid w:val="004D7DE5"/>
    <w:rsid w:val="004F0CA5"/>
    <w:rsid w:val="004F31E5"/>
    <w:rsid w:val="00513101"/>
    <w:rsid w:val="00516087"/>
    <w:rsid w:val="00536930"/>
    <w:rsid w:val="00553344"/>
    <w:rsid w:val="00553CEA"/>
    <w:rsid w:val="0055669E"/>
    <w:rsid w:val="00564E53"/>
    <w:rsid w:val="00580AD2"/>
    <w:rsid w:val="00583555"/>
    <w:rsid w:val="005841E5"/>
    <w:rsid w:val="00585108"/>
    <w:rsid w:val="00595461"/>
    <w:rsid w:val="005A00DD"/>
    <w:rsid w:val="005A70B0"/>
    <w:rsid w:val="005B4EFC"/>
    <w:rsid w:val="005B5527"/>
    <w:rsid w:val="005D3198"/>
    <w:rsid w:val="005D5659"/>
    <w:rsid w:val="005E3DEA"/>
    <w:rsid w:val="00600C20"/>
    <w:rsid w:val="00602F72"/>
    <w:rsid w:val="0062028A"/>
    <w:rsid w:val="006208C0"/>
    <w:rsid w:val="00624DB2"/>
    <w:rsid w:val="00633CBF"/>
    <w:rsid w:val="00635A86"/>
    <w:rsid w:val="00644FE2"/>
    <w:rsid w:val="00647559"/>
    <w:rsid w:val="00673103"/>
    <w:rsid w:val="0067640C"/>
    <w:rsid w:val="00682A43"/>
    <w:rsid w:val="00692CB5"/>
    <w:rsid w:val="006A69D6"/>
    <w:rsid w:val="006A7B14"/>
    <w:rsid w:val="006E678B"/>
    <w:rsid w:val="006E7B1D"/>
    <w:rsid w:val="006F60E5"/>
    <w:rsid w:val="006F66B9"/>
    <w:rsid w:val="00721965"/>
    <w:rsid w:val="00755853"/>
    <w:rsid w:val="00765B5F"/>
    <w:rsid w:val="007757F3"/>
    <w:rsid w:val="007A3CD1"/>
    <w:rsid w:val="007B0B22"/>
    <w:rsid w:val="007B5750"/>
    <w:rsid w:val="007C1B48"/>
    <w:rsid w:val="007E3B15"/>
    <w:rsid w:val="007E6AEB"/>
    <w:rsid w:val="007F429A"/>
    <w:rsid w:val="007F628B"/>
    <w:rsid w:val="00810C39"/>
    <w:rsid w:val="00821DDE"/>
    <w:rsid w:val="00821F87"/>
    <w:rsid w:val="00822941"/>
    <w:rsid w:val="008414EA"/>
    <w:rsid w:val="00846448"/>
    <w:rsid w:val="00854C63"/>
    <w:rsid w:val="00857CE8"/>
    <w:rsid w:val="00883736"/>
    <w:rsid w:val="008973EE"/>
    <w:rsid w:val="008B3727"/>
    <w:rsid w:val="008B5732"/>
    <w:rsid w:val="008C4292"/>
    <w:rsid w:val="008C4943"/>
    <w:rsid w:val="008E278C"/>
    <w:rsid w:val="008E46FC"/>
    <w:rsid w:val="008F4053"/>
    <w:rsid w:val="008F43C8"/>
    <w:rsid w:val="009118C5"/>
    <w:rsid w:val="00913015"/>
    <w:rsid w:val="009211BC"/>
    <w:rsid w:val="009227FE"/>
    <w:rsid w:val="0092531B"/>
    <w:rsid w:val="00941004"/>
    <w:rsid w:val="009420A7"/>
    <w:rsid w:val="009434BE"/>
    <w:rsid w:val="00971600"/>
    <w:rsid w:val="00983692"/>
    <w:rsid w:val="00991504"/>
    <w:rsid w:val="009973B4"/>
    <w:rsid w:val="009A294D"/>
    <w:rsid w:val="009A4344"/>
    <w:rsid w:val="009B40E6"/>
    <w:rsid w:val="009C09D3"/>
    <w:rsid w:val="009C28C1"/>
    <w:rsid w:val="009D4C99"/>
    <w:rsid w:val="009F2810"/>
    <w:rsid w:val="009F7EED"/>
    <w:rsid w:val="00A00A66"/>
    <w:rsid w:val="00A03AB0"/>
    <w:rsid w:val="00A03B2A"/>
    <w:rsid w:val="00A10908"/>
    <w:rsid w:val="00A24D4B"/>
    <w:rsid w:val="00A324D5"/>
    <w:rsid w:val="00A4056D"/>
    <w:rsid w:val="00A40FE6"/>
    <w:rsid w:val="00A42B11"/>
    <w:rsid w:val="00A521F0"/>
    <w:rsid w:val="00A80636"/>
    <w:rsid w:val="00A87338"/>
    <w:rsid w:val="00A92316"/>
    <w:rsid w:val="00AB0E26"/>
    <w:rsid w:val="00AB4939"/>
    <w:rsid w:val="00AC73E8"/>
    <w:rsid w:val="00AC7D83"/>
    <w:rsid w:val="00AE313E"/>
    <w:rsid w:val="00AE46F3"/>
    <w:rsid w:val="00AF0AAB"/>
    <w:rsid w:val="00AF0CE4"/>
    <w:rsid w:val="00AF4C80"/>
    <w:rsid w:val="00B06469"/>
    <w:rsid w:val="00B2731A"/>
    <w:rsid w:val="00B36B10"/>
    <w:rsid w:val="00B36E58"/>
    <w:rsid w:val="00B56F9E"/>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122F9"/>
    <w:rsid w:val="00C1336C"/>
    <w:rsid w:val="00C2092E"/>
    <w:rsid w:val="00C26678"/>
    <w:rsid w:val="00C315A5"/>
    <w:rsid w:val="00C40D2F"/>
    <w:rsid w:val="00C51A36"/>
    <w:rsid w:val="00C55228"/>
    <w:rsid w:val="00C63768"/>
    <w:rsid w:val="00C658AB"/>
    <w:rsid w:val="00C72A05"/>
    <w:rsid w:val="00C7514B"/>
    <w:rsid w:val="00C77034"/>
    <w:rsid w:val="00C95618"/>
    <w:rsid w:val="00CB4775"/>
    <w:rsid w:val="00CB5105"/>
    <w:rsid w:val="00CD31FD"/>
    <w:rsid w:val="00CD44C4"/>
    <w:rsid w:val="00CE315A"/>
    <w:rsid w:val="00CE4CD2"/>
    <w:rsid w:val="00D06F59"/>
    <w:rsid w:val="00D06F9E"/>
    <w:rsid w:val="00D128EF"/>
    <w:rsid w:val="00D20FDD"/>
    <w:rsid w:val="00D21766"/>
    <w:rsid w:val="00D21A23"/>
    <w:rsid w:val="00D511D8"/>
    <w:rsid w:val="00D51BC9"/>
    <w:rsid w:val="00D523F5"/>
    <w:rsid w:val="00D5750A"/>
    <w:rsid w:val="00D60569"/>
    <w:rsid w:val="00D64586"/>
    <w:rsid w:val="00D72DE7"/>
    <w:rsid w:val="00D75D59"/>
    <w:rsid w:val="00D8388C"/>
    <w:rsid w:val="00D8474B"/>
    <w:rsid w:val="00D90FD3"/>
    <w:rsid w:val="00DB60AD"/>
    <w:rsid w:val="00DB6A55"/>
    <w:rsid w:val="00DD33DB"/>
    <w:rsid w:val="00DD429E"/>
    <w:rsid w:val="00DE28CC"/>
    <w:rsid w:val="00DE4D6D"/>
    <w:rsid w:val="00DE595B"/>
    <w:rsid w:val="00DF1100"/>
    <w:rsid w:val="00E10A4B"/>
    <w:rsid w:val="00E12658"/>
    <w:rsid w:val="00E16D3B"/>
    <w:rsid w:val="00E23BC1"/>
    <w:rsid w:val="00E261AE"/>
    <w:rsid w:val="00E348B3"/>
    <w:rsid w:val="00E361DE"/>
    <w:rsid w:val="00E43FFD"/>
    <w:rsid w:val="00E46E99"/>
    <w:rsid w:val="00E6224C"/>
    <w:rsid w:val="00E63724"/>
    <w:rsid w:val="00E92F55"/>
    <w:rsid w:val="00EA0B69"/>
    <w:rsid w:val="00EA37D1"/>
    <w:rsid w:val="00EB0164"/>
    <w:rsid w:val="00EB1C22"/>
    <w:rsid w:val="00EB3D2A"/>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400F4"/>
    <w:rsid w:val="00F4354E"/>
    <w:rsid w:val="00F4538A"/>
    <w:rsid w:val="00F51DFC"/>
    <w:rsid w:val="00F6347C"/>
    <w:rsid w:val="00F74A85"/>
    <w:rsid w:val="00F81E37"/>
    <w:rsid w:val="00F85D84"/>
    <w:rsid w:val="00F869EB"/>
    <w:rsid w:val="00F90598"/>
    <w:rsid w:val="00F97689"/>
    <w:rsid w:val="00FA6D2C"/>
    <w:rsid w:val="00FA7AE7"/>
    <w:rsid w:val="00FB0156"/>
    <w:rsid w:val="00FC0497"/>
    <w:rsid w:val="00FC47BD"/>
    <w:rsid w:val="00FD631E"/>
    <w:rsid w:val="00FD662D"/>
    <w:rsid w:val="00FE0DBA"/>
    <w:rsid w:val="00FE46BD"/>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187AE3"/>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AB27FB"/>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920983"/>
    <w:rsid w:val="0EA43140"/>
    <w:rsid w:val="0EA50415"/>
    <w:rsid w:val="0EB8524B"/>
    <w:rsid w:val="0EB8667B"/>
    <w:rsid w:val="0ECE0C57"/>
    <w:rsid w:val="0EFF1843"/>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15744"/>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0E3C82"/>
    <w:rsid w:val="1D4D4A00"/>
    <w:rsid w:val="1DAE3E96"/>
    <w:rsid w:val="1DB1507E"/>
    <w:rsid w:val="1DB34B37"/>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CF1275"/>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9422D9"/>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147528"/>
    <w:rsid w:val="46332B60"/>
    <w:rsid w:val="4654705C"/>
    <w:rsid w:val="468D2C1F"/>
    <w:rsid w:val="468D3CA5"/>
    <w:rsid w:val="46A51AB4"/>
    <w:rsid w:val="46B421B8"/>
    <w:rsid w:val="46EA7997"/>
    <w:rsid w:val="470243E7"/>
    <w:rsid w:val="471F1498"/>
    <w:rsid w:val="47271944"/>
    <w:rsid w:val="473E10CC"/>
    <w:rsid w:val="475C4BFE"/>
    <w:rsid w:val="475D7730"/>
    <w:rsid w:val="47BB044C"/>
    <w:rsid w:val="480026D5"/>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779D3"/>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EF109F8"/>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943F83"/>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1246D"/>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9A4AB3"/>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C5732"/>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134281"/>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57B1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72E8B"/>
    <w:rsid w:val="7E0A78B3"/>
    <w:rsid w:val="7E2912F3"/>
    <w:rsid w:val="7E3A5F03"/>
    <w:rsid w:val="7E6305EF"/>
    <w:rsid w:val="7E8D50F9"/>
    <w:rsid w:val="7EBA6AA6"/>
    <w:rsid w:val="7ED713AA"/>
    <w:rsid w:val="7EDA5201"/>
    <w:rsid w:val="7EEE63E6"/>
    <w:rsid w:val="7F541664"/>
    <w:rsid w:val="7F5737FE"/>
    <w:rsid w:val="7F697999"/>
    <w:rsid w:val="7F782D49"/>
    <w:rsid w:val="7F9026D0"/>
    <w:rsid w:val="7F984417"/>
    <w:rsid w:val="7FDB730C"/>
    <w:rsid w:val="7FDC7239"/>
    <w:rsid w:val="7FE41A2D"/>
    <w:rsid w:val="7FE54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annotation text"/>
    <w:basedOn w:val="1"/>
    <w:link w:val="22"/>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4"/>
    <w:next w:val="4"/>
    <w:link w:val="23"/>
    <w:semiHidden/>
    <w:unhideWhenUsed/>
    <w:qFormat/>
    <w:uiPriority w:val="99"/>
    <w:rPr>
      <w:b/>
      <w:bCs/>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2"/>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4"/>
    <w:semiHidden/>
    <w:qFormat/>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FBC17-4B7B-443B-963C-D6DFE0BD5E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2008</Words>
  <Characters>11446</Characters>
  <Lines>95</Lines>
  <Paragraphs>26</Paragraphs>
  <TotalTime>0</TotalTime>
  <ScaleCrop>false</ScaleCrop>
  <LinksUpToDate>false</LinksUpToDate>
  <CharactersWithSpaces>13428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2022-02-19T13:13:08Z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6B9E700FBA1F458B898B32F3DF51CE49</vt:lpwstr>
  </property>
</Properties>
</file>