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32" w:name="_GoBack"/>
      <w:bookmarkEnd w:id="32"/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南京康智和农产品有限公司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南京市江宁区东山街道古庙北路1号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江苏省</w:t>
            </w:r>
            <w:r>
              <w:rPr>
                <w:rFonts w:asciiTheme="minorEastAsia" w:hAnsiTheme="minorEastAsia" w:eastAsiaTheme="minorEastAsia"/>
                <w:sz w:val="20"/>
              </w:rPr>
              <w:t>南京市江宁区东山街道古庙北路1号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戈敏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15195851563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211103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聂</w:t>
            </w:r>
            <w:r>
              <w:t>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1759150733@qq.com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0148-2021-F-2022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第1次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[不适用]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[不适用]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位于江苏省南京市江宁区东山街道古庙北路1号</w:t>
            </w:r>
            <w:r>
              <w:rPr>
                <w:sz w:val="21"/>
                <w:szCs w:val="21"/>
              </w:rPr>
              <w:t>南京康智和农产品有限公司</w:t>
            </w:r>
            <w:r>
              <w:rPr>
                <w:sz w:val="20"/>
              </w:rPr>
              <w:t>的预包装食品（含冷藏冷冻食品）销售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FI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2022年02月19日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  <w:r>
              <w:rPr>
                <w:rFonts w:hint="eastAsia"/>
                <w:b/>
                <w:sz w:val="20"/>
              </w:rPr>
              <w:t>至2022年02月19日 下午</w:t>
            </w:r>
            <w:bookmarkEnd w:id="30"/>
            <w:r>
              <w:rPr>
                <w:rFonts w:hint="eastAsia"/>
                <w:b/>
                <w:sz w:val="20"/>
                <w:lang w:val="en-US" w:eastAsia="zh-CN"/>
              </w:rPr>
              <w:t>17:00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【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  <w:r>
              <w:rPr>
                <w:rFonts w:hint="eastAsia"/>
                <w:b/>
                <w:sz w:val="20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GI,GII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2022-02-13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872" w:tblpY="341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16"/>
        <w:gridCol w:w="993"/>
        <w:gridCol w:w="4394"/>
        <w:gridCol w:w="170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0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2022-02-19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0:00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top"/>
          </w:tcPr>
          <w:p>
            <w:pPr>
              <w:tabs>
                <w:tab w:val="left" w:pos="709"/>
              </w:tabs>
              <w:spacing w:line="240" w:lineRule="auto"/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</w:t>
            </w:r>
            <w:r>
              <w:rPr>
                <w:rFonts w:hint="eastAsia" w:ascii="宋体" w:hAnsi="宋体"/>
                <w:sz w:val="21"/>
                <w:szCs w:val="21"/>
              </w:rPr>
              <w:t>认证范围、过程方法、领导作用、岗位和职责、方针和目标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风险和机遇的策划、</w:t>
            </w:r>
            <w:r>
              <w:rPr>
                <w:rFonts w:hint="eastAsia"/>
                <w:sz w:val="21"/>
                <w:szCs w:val="21"/>
              </w:rPr>
              <w:t>资源、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沟通、监视、测量、分析和评估【总则】、</w:t>
            </w:r>
            <w:r>
              <w:rPr>
                <w:rFonts w:hint="eastAsia" w:cs="Arial"/>
                <w:bCs/>
                <w:sz w:val="21"/>
                <w:szCs w:val="21"/>
              </w:rPr>
              <w:t>内部审核、管理评审</w:t>
            </w:r>
            <w:r>
              <w:rPr>
                <w:rFonts w:hint="eastAsia" w:cs="Arial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/>
                <w:bCs/>
                <w:sz w:val="21"/>
                <w:szCs w:val="21"/>
              </w:rPr>
              <w:t>不合格和纠正措施</w:t>
            </w:r>
            <w:r>
              <w:rPr>
                <w:rFonts w:hint="eastAsia" w:cs="Arial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持续改进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食品安全管理体系的更新；</w:t>
            </w:r>
            <w:r>
              <w:rPr>
                <w:rFonts w:hint="eastAsia" w:ascii="宋体" w:hAnsi="宋体"/>
                <w:sz w:val="21"/>
                <w:szCs w:val="21"/>
              </w:rPr>
              <w:t>重大投诉处理、重大体系事故和变更管理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产品召回、行业抽查情况</w:t>
            </w:r>
            <w:r>
              <w:rPr>
                <w:rFonts w:hint="eastAsia" w:cs="Arial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初审不符合项的确认、证书使用情况、资质是否发生变更等</w:t>
            </w:r>
          </w:p>
        </w:tc>
        <w:tc>
          <w:tcPr>
            <w:tcW w:w="1704" w:type="dxa"/>
            <w:vAlign w:val="top"/>
          </w:tcPr>
          <w:p>
            <w:pPr>
              <w:tabs>
                <w:tab w:val="left" w:pos="709"/>
              </w:tabs>
              <w:spacing w:line="240" w:lineRule="auto"/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FSMS：4.1</w:t>
            </w:r>
            <w:r>
              <w:rPr>
                <w:rFonts w:cs="Arial"/>
                <w:bCs/>
                <w:sz w:val="21"/>
                <w:szCs w:val="21"/>
              </w:rPr>
              <w:t>/4.2/4.3/4.4/5.1</w:t>
            </w:r>
            <w:r>
              <w:rPr>
                <w:rFonts w:hint="eastAsia" w:cs="Arial"/>
                <w:bCs/>
                <w:sz w:val="21"/>
                <w:szCs w:val="21"/>
              </w:rPr>
              <w:t>/</w:t>
            </w:r>
            <w:r>
              <w:rPr>
                <w:rFonts w:cs="Arial"/>
                <w:bCs/>
                <w:sz w:val="21"/>
                <w:szCs w:val="21"/>
              </w:rPr>
              <w:t>5.2</w:t>
            </w:r>
            <w:r>
              <w:rPr>
                <w:rFonts w:hint="eastAsia" w:cs="Arial"/>
                <w:bCs/>
                <w:sz w:val="21"/>
                <w:szCs w:val="21"/>
              </w:rPr>
              <w:t>/</w:t>
            </w:r>
            <w:r>
              <w:rPr>
                <w:rFonts w:cs="Arial"/>
                <w:bCs/>
                <w:sz w:val="21"/>
                <w:szCs w:val="21"/>
              </w:rPr>
              <w:t>5.3</w:t>
            </w:r>
            <w:r>
              <w:rPr>
                <w:rFonts w:hint="eastAsia" w:cs="Arial"/>
                <w:bCs/>
                <w:sz w:val="21"/>
                <w:szCs w:val="21"/>
              </w:rPr>
              <w:t>/6.1/6.2/6.3/7.1</w:t>
            </w:r>
            <w:r>
              <w:rPr>
                <w:rFonts w:cs="Arial"/>
                <w:bCs/>
                <w:sz w:val="21"/>
                <w:szCs w:val="21"/>
              </w:rPr>
              <w:t>.1/</w:t>
            </w:r>
            <w:r>
              <w:rPr>
                <w:rFonts w:hint="eastAsia" w:cs="Arial"/>
                <w:bCs/>
                <w:sz w:val="21"/>
                <w:szCs w:val="21"/>
              </w:rPr>
              <w:t>7.4/9.1.1/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 w:cs="Arial"/>
                <w:bCs/>
                <w:sz w:val="21"/>
                <w:szCs w:val="21"/>
              </w:rPr>
              <w:t>9.3/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10.1/</w:t>
            </w:r>
            <w:r>
              <w:rPr>
                <w:rFonts w:cs="Arial"/>
                <w:bCs/>
                <w:sz w:val="21"/>
                <w:szCs w:val="21"/>
              </w:rPr>
              <w:t>10.2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/10.3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10:00-11:30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食安小组</w:t>
            </w:r>
          </w:p>
        </w:tc>
        <w:tc>
          <w:tcPr>
            <w:tcW w:w="4394" w:type="dxa"/>
            <w:vAlign w:val="top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食品安全小组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组成</w:t>
            </w:r>
            <w:r>
              <w:rPr>
                <w:rFonts w:hint="eastAsia" w:ascii="宋体" w:hAnsi="宋体"/>
                <w:sz w:val="21"/>
                <w:szCs w:val="21"/>
              </w:rPr>
              <w:t>及职责、外部开发的食品安全管理体系要素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前提方案、实施危害分析的预备步骤、危害分析、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OPRP计划/HACCP计划</w:t>
            </w:r>
            <w:r>
              <w:rPr>
                <w:rFonts w:hint="eastAsia" w:ascii="宋体" w:hAnsi="宋体"/>
                <w:sz w:val="21"/>
                <w:szCs w:val="21"/>
              </w:rPr>
              <w:t>的建立、规定前提方案（PRP）和危害控制计划的信息的更新、与前提方案（PRPs）和危害控制计划有关的验证、分析和评估</w:t>
            </w:r>
          </w:p>
        </w:tc>
        <w:tc>
          <w:tcPr>
            <w:tcW w:w="170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FSMS: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="Times New Roman" w:hAnsi="Times New Roman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5</w:t>
            </w:r>
            <w:r>
              <w:rPr>
                <w:rFonts w:cs="Arial"/>
                <w:bCs/>
                <w:sz w:val="21"/>
                <w:szCs w:val="21"/>
              </w:rPr>
              <w:t>.3/</w:t>
            </w:r>
            <w:r>
              <w:rPr>
                <w:rFonts w:hint="eastAsia" w:cs="Arial"/>
                <w:bCs/>
                <w:sz w:val="21"/>
                <w:szCs w:val="21"/>
              </w:rPr>
              <w:t>7.1.5/</w:t>
            </w:r>
            <w:r>
              <w:rPr>
                <w:rFonts w:cs="Arial"/>
                <w:bCs/>
                <w:sz w:val="21"/>
                <w:szCs w:val="21"/>
              </w:rPr>
              <w:t>8.1/8.2/8.5/8.6/8.8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/9.1.2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11:30-12:30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市场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及现场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目标、职责、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基础设施、工作环境、外部提供的过程、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产品及服务、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前提方案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及现场情况、危害控制计划的OPRP/CCP点实施情况、可追溯性、撤回/召回、应急准备和响应</w:t>
            </w:r>
          </w:p>
        </w:tc>
        <w:tc>
          <w:tcPr>
            <w:tcW w:w="1704" w:type="dxa"/>
            <w:vAlign w:val="top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7.1.3/7.1.4/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7.1.6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/8.2/8.3/8.4/8.5.4.5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12:30-13:00</w:t>
            </w:r>
          </w:p>
        </w:tc>
        <w:tc>
          <w:tcPr>
            <w:tcW w:w="993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394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午餐及休息</w:t>
            </w:r>
          </w:p>
        </w:tc>
        <w:tc>
          <w:tcPr>
            <w:tcW w:w="1704" w:type="dxa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市场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及现场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目标、职责、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基础设施、工作环境、外部提供的过程、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产品及服务、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前提方案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及现场情况、危害控制计划的OPRP/CCP点实施情况、可追溯性、撤回/召回、应急准备和响应——继续审核</w:t>
            </w:r>
          </w:p>
        </w:tc>
        <w:tc>
          <w:tcPr>
            <w:tcW w:w="1704" w:type="dxa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7.1.3/7.1.4/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7.1.6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/8.2/8.3/8.4/8.5.4.5/8.7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控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部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部门目标、职责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测量资源管理、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关键控制点的监视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、不合格品处理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rPr>
                <w:rFonts w:hint="default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6.2/8.7/8.9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.1-8.9.4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0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办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标、</w:t>
            </w:r>
            <w:r>
              <w:rPr>
                <w:rFonts w:hint="eastAsia" w:cs="Arial"/>
                <w:bCs/>
                <w:sz w:val="21"/>
                <w:szCs w:val="21"/>
              </w:rPr>
              <w:t>职责、文件和记录管理；内外部沟通、人员健康管理、</w:t>
            </w:r>
            <w:r>
              <w:rPr>
                <w:rFonts w:hint="eastAsia" w:cs="Arial"/>
                <w:bCs/>
                <w:sz w:val="21"/>
                <w:szCs w:val="21"/>
                <w:lang w:val="en-US" w:eastAsia="zh-CN"/>
              </w:rPr>
              <w:t>人员资质</w:t>
            </w:r>
            <w:r>
              <w:rPr>
                <w:rFonts w:hint="eastAsia" w:cs="Arial"/>
                <w:bCs/>
                <w:sz w:val="21"/>
                <w:szCs w:val="21"/>
              </w:rPr>
              <w:t>、人员招聘、员工培训及有效性评价；</w:t>
            </w:r>
          </w:p>
        </w:tc>
        <w:tc>
          <w:tcPr>
            <w:tcW w:w="1704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6.2/7.2/7.3/7.4/7.5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末次会议</w:t>
            </w: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00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572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>
      <w:pPr>
        <w:pStyle w:val="8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gQmitcAAAAKAQAADwAAAAAAAAABACAAAAAiAAAAZHJzL2Rvd25y&#10;ZXYueG1sUEsBAhQAFAAAAAgAh07iQGlGaG3GAQAAeg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15529"/>
    <w:rsid w:val="0EB70C65"/>
    <w:rsid w:val="269A1952"/>
    <w:rsid w:val="3BC779A0"/>
    <w:rsid w:val="4D7473AF"/>
    <w:rsid w:val="69C850CD"/>
    <w:rsid w:val="6B642A5C"/>
    <w:rsid w:val="77536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10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2022-02-19T13:14:30Z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7AE21D1C1156496A96D072CF88E27563</vt:lpwstr>
  </property>
  <property fmtid="{D5CDD505-2E9C-101B-9397-08002B2CF9AE}" pid="3" name="KSOProductBuildVer">
    <vt:lpwstr>2052-11.1.0.11294</vt:lpwstr>
  </property>
</Properties>
</file>