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甘肃澳翔印业有限公司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甘肃省兰州市安宁区桃林路197号（兰州东方乐包装印务有限公司办公楼）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甘肃省兰州市安宁区桃林路197号（兰州东方乐包装印务有限公司办公楼）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牛红梅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18919852442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113806817@qq.com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吕振东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0063-2022-QEO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Q：出版物、包装装潢印刷品、其他印刷品的印刷（资质范围内）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E：出版物、包装装潢印刷品、其他印刷品的印刷（资质范围内）所涉及场所的相关环境管理活动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O：出版物、包装装潢印刷品、其他印刷品的印刷（资质范围内）所涉及场所的相关职业健康安全管理活动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Q：09.01.02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E：09.01.02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O：09.01.02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2022年02月19日 上午至2022年02月20日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2.0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强兴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2020-N1EMS-1263375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2021-N1OHSMS-1263375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陈琦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2021-N0QMS-1212288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2021-N0EMS-1212288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2021-N0OHSMS-1212288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13811922580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郭力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2020-N1EMS-1263290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ISC[S]0372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北京国标联合认证有限公司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Q:09.01.02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E:09.01.02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O:09.01.02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技术专家</w:t>
            </w:r>
          </w:p>
        </w:tc>
        <w:tc>
          <w:tcPr>
            <w:tcW w:w="135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94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sz w:val="21"/>
                <w:szCs w:val="21"/>
              </w:rPr>
              <w:t>北京国标联合认证有限公司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sz w:val="21"/>
                <w:szCs w:val="21"/>
              </w:rPr>
              <w:t>ISC[S]0372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强兴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15353547891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2022.2.17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2022.2.17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2022.2.17</w:t>
            </w: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32"/>
        <w:gridCol w:w="1122"/>
        <w:gridCol w:w="3"/>
        <w:gridCol w:w="6012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1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0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过程涉及条款</w:t>
            </w:r>
          </w:p>
        </w:tc>
        <w:tc>
          <w:tcPr>
            <w:tcW w:w="103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1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2022.2.19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0-1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：00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332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-9：00</w:t>
            </w:r>
          </w:p>
        </w:tc>
        <w:tc>
          <w:tcPr>
            <w:tcW w:w="1125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012" w:type="dxa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3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9：00-1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25" w:type="dxa"/>
            <w:gridSpan w:val="2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安全事务代表</w:t>
            </w:r>
          </w:p>
        </w:tc>
        <w:tc>
          <w:tcPr>
            <w:tcW w:w="6012" w:type="dxa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/>
                <w:spacing w:val="-6"/>
                <w:sz w:val="21"/>
                <w:szCs w:val="21"/>
              </w:rPr>
              <w:t>QEO:4.1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理解组织及其环境、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4.2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理解相关方的需求和期望、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 xml:space="preserve">4.3 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确定管理体系的范围、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4.4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质量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环境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安全管理体系及其过程、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领导作用和承诺、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质量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环境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安全方针、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O5.4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协商与参与、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6.1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应对风险和机遇的措施、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质量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环境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安全目标及其实现的策划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7.1.1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（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EO7.1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）资源总则、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7.4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沟通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信息交流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9.3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管理评审、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10.1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改进、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10.3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持续改进，</w:t>
            </w:r>
          </w:p>
          <w:p>
            <w:pPr>
              <w:ind w:firstLine="396" w:firstLineChars="200"/>
              <w:rPr>
                <w:rFonts w:asci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地方监督抽查情况；顾客满意、相关方投诉及处理情况；一阶段问题验证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验证企业相关资质证明的有效性；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1039" w:type="dxa"/>
            <w:tcBorders>
              <w:right w:val="single" w:color="auto" w:sz="8" w:space="0"/>
            </w:tcBorders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atLeast"/>
        </w:trPr>
        <w:tc>
          <w:tcPr>
            <w:tcW w:w="8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32" w:type="dxa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9：00-15：00</w:t>
            </w:r>
          </w:p>
          <w:p>
            <w:pPr>
              <w:pStyle w:val="2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25" w:type="dxa"/>
            <w:gridSpan w:val="2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经营部</w:t>
            </w:r>
          </w:p>
        </w:tc>
        <w:tc>
          <w:tcPr>
            <w:tcW w:w="6012" w:type="dxa"/>
            <w:vAlign w:val="top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.2</w:t>
            </w:r>
            <w:r>
              <w:rPr>
                <w:rFonts w:hint="eastAsia" w:ascii="宋体" w:hAnsi="宋体" w:cs="Arial"/>
                <w:sz w:val="21"/>
                <w:szCs w:val="21"/>
              </w:rPr>
              <w:t>产品和服务的要求、</w:t>
            </w:r>
            <w:r>
              <w:rPr>
                <w:rFonts w:ascii="宋体" w:hAnsi="宋体" w:cs="Arial"/>
                <w:sz w:val="21"/>
                <w:szCs w:val="21"/>
              </w:rPr>
              <w:t>8.4</w:t>
            </w:r>
            <w:r>
              <w:rPr>
                <w:rFonts w:hint="eastAsia" w:ascii="宋体" w:hAnsi="宋体" w:cs="Arial"/>
                <w:sz w:val="21"/>
                <w:szCs w:val="21"/>
              </w:rPr>
              <w:t>外部提供过程、产品和服务的控制、</w:t>
            </w:r>
            <w:r>
              <w:rPr>
                <w:rFonts w:ascii="宋体" w:hAnsi="宋体" w:cs="Arial"/>
                <w:sz w:val="21"/>
                <w:szCs w:val="21"/>
              </w:rPr>
              <w:t>8.5.3</w:t>
            </w:r>
            <w:r>
              <w:rPr>
                <w:rFonts w:hint="eastAsia" w:ascii="宋体" w:hAnsi="宋体" w:cs="Arial"/>
                <w:sz w:val="21"/>
                <w:szCs w:val="21"/>
              </w:rPr>
              <w:t>顾客或外部供方的财产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8.5.5交付后的活动、</w:t>
            </w:r>
            <w:r>
              <w:rPr>
                <w:rFonts w:ascii="宋体" w:hAnsi="宋体" w:cs="Arial"/>
                <w:sz w:val="21"/>
                <w:szCs w:val="21"/>
              </w:rPr>
              <w:t>9.1.2</w:t>
            </w:r>
            <w:r>
              <w:rPr>
                <w:rFonts w:hint="eastAsia" w:ascii="宋体" w:hAnsi="宋体" w:cs="Arial"/>
                <w:sz w:val="21"/>
                <w:szCs w:val="21"/>
              </w:rPr>
              <w:t>顾客满意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Arial"/>
                <w:sz w:val="21"/>
                <w:szCs w:val="21"/>
              </w:rPr>
              <w:t>EMS: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环境与职业健康安全目标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危险源辨识与评价、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</w:t>
            </w:r>
          </w:p>
        </w:tc>
        <w:tc>
          <w:tcPr>
            <w:tcW w:w="1039" w:type="dxa"/>
            <w:tcBorders>
              <w:right w:val="single" w:color="auto" w:sz="8" w:space="0"/>
            </w:tcBorders>
            <w:vAlign w:val="top"/>
          </w:tcPr>
          <w:p>
            <w:pPr>
              <w:pStyle w:val="2"/>
              <w:rPr>
                <w:rFonts w:hint="eastAsia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cs="Times New Roman"/>
                <w:bCs/>
                <w:spacing w:val="10"/>
                <w:kern w:val="2"/>
                <w:sz w:val="24"/>
                <w:lang w:val="en-US" w:eastAsia="zh-CN" w:bidi="ar-SA"/>
              </w:rPr>
              <w:t>B</w:t>
            </w: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  <w:t>C</w:t>
            </w:r>
          </w:p>
          <w:p>
            <w:pPr>
              <w:pStyle w:val="2"/>
              <w:rPr>
                <w:rFonts w:hint="default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</w:p>
          <w:p>
            <w:pPr>
              <w:pStyle w:val="2"/>
              <w:rPr>
                <w:rFonts w:hint="default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8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32" w:type="dxa"/>
          </w:tcPr>
          <w:p>
            <w:pPr>
              <w:pStyle w:val="2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-17:30</w:t>
            </w:r>
          </w:p>
        </w:tc>
        <w:tc>
          <w:tcPr>
            <w:tcW w:w="1125" w:type="dxa"/>
            <w:gridSpan w:val="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经营部</w:t>
            </w:r>
          </w:p>
        </w:tc>
        <w:tc>
          <w:tcPr>
            <w:tcW w:w="6012" w:type="dxa"/>
            <w:vAlign w:val="top"/>
          </w:tcPr>
          <w:p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OMS: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环境与职业健康安全目标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危险源辨识与评价、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</w:t>
            </w:r>
          </w:p>
        </w:tc>
        <w:tc>
          <w:tcPr>
            <w:tcW w:w="1039" w:type="dxa"/>
            <w:tcBorders>
              <w:right w:val="single" w:color="auto" w:sz="8" w:space="0"/>
            </w:tcBorders>
            <w:vAlign w:val="top"/>
          </w:tcPr>
          <w:p>
            <w:pPr>
              <w:pStyle w:val="2"/>
              <w:rPr>
                <w:rFonts w:hint="eastAsia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cs="Times New Roman"/>
                <w:bCs/>
                <w:spacing w:val="10"/>
                <w:kern w:val="2"/>
                <w:sz w:val="24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2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2.20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0-1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：00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332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8：30-1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25" w:type="dxa"/>
            <w:gridSpan w:val="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6012" w:type="dxa"/>
            <w:vAlign w:val="top"/>
          </w:tcPr>
          <w:p>
            <w:pPr>
              <w:spacing w:line="280" w:lineRule="exact"/>
              <w:rPr>
                <w:rFonts w:hint="eastAsia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6.3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变更的策划、</w:t>
            </w:r>
            <w:r>
              <w:rPr>
                <w:rFonts w:ascii="宋体" w:hAnsi="宋体" w:cs="Arial"/>
                <w:sz w:val="21"/>
                <w:szCs w:val="21"/>
              </w:rPr>
              <w:t>7.1.2</w:t>
            </w:r>
            <w:r>
              <w:rPr>
                <w:rFonts w:hint="eastAsia" w:ascii="宋体" w:hAnsi="宋体" w:cs="Arial"/>
                <w:sz w:val="21"/>
                <w:szCs w:val="21"/>
              </w:rPr>
              <w:t>人员、</w:t>
            </w:r>
            <w:r>
              <w:rPr>
                <w:rFonts w:ascii="宋体" w:hAnsi="宋体" w:cs="Arial"/>
                <w:sz w:val="21"/>
                <w:szCs w:val="21"/>
              </w:rPr>
              <w:t>7.1.3</w:t>
            </w:r>
            <w:r>
              <w:rPr>
                <w:rFonts w:hint="eastAsia" w:ascii="宋体" w:hAnsi="宋体" w:cs="Arial"/>
                <w:sz w:val="21"/>
                <w:szCs w:val="21"/>
              </w:rPr>
              <w:t>基础设施、</w:t>
            </w:r>
            <w:r>
              <w:rPr>
                <w:rFonts w:ascii="宋体" w:hAnsi="宋体" w:cs="Arial"/>
                <w:sz w:val="21"/>
                <w:szCs w:val="21"/>
              </w:rPr>
              <w:t>7.1.4</w:t>
            </w:r>
            <w:r>
              <w:rPr>
                <w:rFonts w:hint="eastAsia" w:ascii="宋体" w:hAnsi="宋体" w:cs="Arial"/>
                <w:sz w:val="21"/>
                <w:szCs w:val="21"/>
              </w:rPr>
              <w:t>过程运行环境、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7.1.6组织知识、7.2能力、7.3意识、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7.4沟通/信息交流、</w:t>
            </w:r>
            <w:r>
              <w:rPr>
                <w:rFonts w:ascii="宋体" w:hAnsi="宋体" w:cs="Arial"/>
                <w:sz w:val="21"/>
                <w:szCs w:val="21"/>
              </w:rPr>
              <w:t>7.5.1</w:t>
            </w:r>
            <w:r>
              <w:rPr>
                <w:rFonts w:hint="eastAsia" w:ascii="宋体" w:hAnsi="宋体" w:cs="Arial"/>
                <w:sz w:val="21"/>
                <w:szCs w:val="21"/>
              </w:rPr>
              <w:t>形成文件的信息总则、</w:t>
            </w:r>
            <w:r>
              <w:rPr>
                <w:rFonts w:ascii="宋体" w:hAnsi="宋体" w:cs="Arial"/>
                <w:sz w:val="21"/>
                <w:szCs w:val="21"/>
              </w:rPr>
              <w:t>7.5.2</w:t>
            </w:r>
            <w:r>
              <w:rPr>
                <w:rFonts w:hint="eastAsia" w:ascii="宋体" w:hAnsi="宋体" w:cs="Arial"/>
                <w:sz w:val="21"/>
                <w:szCs w:val="21"/>
              </w:rPr>
              <w:t>形成文件的信息的创建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和更新、7.5.3形成文件的信息的控制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9.1（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9.1.1监视、测量、分析和评价总则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9.1.3分析与评价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、9.2 内部审核、10.2不合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格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和纠正措施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E/OMS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 xml:space="preserve"> 5.3组织的岗位、职责和权限、6.1.2环境因素/危险源的辨识与评价、6.1.3合规义务、6.1.4措施的策划、6.2.1环境/职业健康安全目标、6.2.2实现环境/职业健康安全目标措施的策划、7.2能力、7.3意识、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7.4沟通/信息交流、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7.5.1形成文件的信息总则、7.5.2形成文件的信息的创建和更新、7.5.3形成文件的信息的控制、8.1运行策划和控制、8.2应急准备和响应、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9.1（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9.1.1监视、测量、分析和评价总则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9.1.2合规性评价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）</w:t>
            </w:r>
            <w:bookmarkStart w:id="32" w:name="_GoBack"/>
            <w:bookmarkEnd w:id="32"/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、9.2 内部审核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10.2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事件、不符合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和纠正措施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.</w:t>
            </w:r>
          </w:p>
          <w:p>
            <w:pPr>
              <w:spacing w:line="280" w:lineRule="exact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EMS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OHSMS运行控制相关财务支出证据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1039" w:type="dxa"/>
            <w:tcBorders>
              <w:right w:val="single" w:color="auto" w:sz="8" w:space="0"/>
            </w:tcBorders>
            <w:vAlign w:val="top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2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-15:00</w:t>
            </w:r>
          </w:p>
        </w:tc>
        <w:tc>
          <w:tcPr>
            <w:tcW w:w="1125" w:type="dxa"/>
            <w:gridSpan w:val="2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财务部</w:t>
            </w:r>
          </w:p>
        </w:tc>
        <w:tc>
          <w:tcPr>
            <w:tcW w:w="6012" w:type="dxa"/>
            <w:vAlign w:val="top"/>
          </w:tcPr>
          <w:p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E/OMS: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环境与职业健康安全目标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危险源辨识与评价、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应急准备和响应</w:t>
            </w:r>
          </w:p>
        </w:tc>
        <w:tc>
          <w:tcPr>
            <w:tcW w:w="1039" w:type="dxa"/>
            <w:tcBorders>
              <w:right w:val="single" w:color="auto" w:sz="8" w:space="0"/>
            </w:tcBorders>
            <w:vAlign w:val="top"/>
          </w:tcPr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cs="Times New Roman"/>
                <w:bCs/>
                <w:spacing w:val="10"/>
                <w:kern w:val="2"/>
                <w:sz w:val="24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2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8：30-1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25" w:type="dxa"/>
            <w:gridSpan w:val="2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生产部</w:t>
            </w:r>
          </w:p>
        </w:tc>
        <w:tc>
          <w:tcPr>
            <w:tcW w:w="6012" w:type="dxa"/>
            <w:vAlign w:val="top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Arial"/>
                <w:sz w:val="21"/>
                <w:szCs w:val="21"/>
              </w:rPr>
              <w:t>7.1.5</w:t>
            </w:r>
            <w:r>
              <w:rPr>
                <w:rFonts w:hint="eastAsia" w:ascii="宋体" w:hAnsi="宋体" w:cs="Arial"/>
                <w:sz w:val="21"/>
                <w:szCs w:val="21"/>
              </w:rPr>
              <w:t>监视和测量资源、8.1运行策划和控制、8.3产品和服务的设计和开发不适用确认、8.5.1生产和服务提供的控制、8.5.2产品标识和可追朔性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8.5.4产品防护、8.5.6生产和服务提供的更改控制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8.6产品和服务的放行、8.7不合格输出的控制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Arial"/>
                <w:sz w:val="21"/>
                <w:szCs w:val="21"/>
              </w:rPr>
              <w:t>EMS: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环境与职业健康安全目标、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危险源辨识与评价、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应急准备和响应</w:t>
            </w:r>
          </w:p>
        </w:tc>
        <w:tc>
          <w:tcPr>
            <w:tcW w:w="1039" w:type="dxa"/>
            <w:tcBorders>
              <w:right w:val="single" w:color="auto" w:sz="8" w:space="0"/>
            </w:tcBorders>
            <w:vAlign w:val="top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2" w:type="dxa"/>
            <w:vMerge w:val="continue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2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0-17：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22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生产部</w:t>
            </w:r>
          </w:p>
        </w:tc>
        <w:tc>
          <w:tcPr>
            <w:tcW w:w="6015" w:type="dxa"/>
            <w:gridSpan w:val="2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OMS: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环境与职业健康安全目标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危险源辨识与评价、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应急准备和响应</w:t>
            </w:r>
          </w:p>
        </w:tc>
        <w:tc>
          <w:tcPr>
            <w:tcW w:w="1039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2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2022.2.20</w:t>
            </w:r>
          </w:p>
        </w:tc>
        <w:tc>
          <w:tcPr>
            <w:tcW w:w="1332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17：0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-1:7：30</w:t>
            </w:r>
          </w:p>
        </w:tc>
        <w:tc>
          <w:tcPr>
            <w:tcW w:w="7137" w:type="dxa"/>
            <w:gridSpan w:val="3"/>
            <w:shd w:val="clear" w:color="auto" w:fill="F2DCDC" w:themeFill="accent2" w:themeFillTint="32"/>
          </w:tcPr>
          <w:p>
            <w:pPr>
              <w:spacing w:line="280" w:lineRule="exact"/>
              <w:ind w:firstLine="420" w:firstLineChars="200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补充及跟踪审核：必要部门、必要条款；审核组内部沟通；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审核组与受审核方领导层沟通；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</w:t>
            </w:r>
            <w:r>
              <w:rPr>
                <w:rFonts w:ascii="宋体" w:hAnsi="宋体" w:cs="Arial"/>
                <w:sz w:val="21"/>
                <w:szCs w:val="21"/>
              </w:rPr>
              <w:t>QMS\EMS\OHSMS</w:t>
            </w:r>
            <w:r>
              <w:rPr>
                <w:rFonts w:hint="eastAsia" w:ascii="宋体" w:hAnsi="宋体" w:cs="Arial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1039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DA24F9"/>
    <w:rsid w:val="0CFD4059"/>
    <w:rsid w:val="0F3E63A4"/>
    <w:rsid w:val="1C8279BC"/>
    <w:rsid w:val="22201F19"/>
    <w:rsid w:val="2F7C42E5"/>
    <w:rsid w:val="365D7A6A"/>
    <w:rsid w:val="3DE550BD"/>
    <w:rsid w:val="453545A2"/>
    <w:rsid w:val="47B31763"/>
    <w:rsid w:val="4A8568AE"/>
    <w:rsid w:val="4FF513F4"/>
    <w:rsid w:val="535054B5"/>
    <w:rsid w:val="5F3046F6"/>
    <w:rsid w:val="66133E34"/>
    <w:rsid w:val="6AA43643"/>
    <w:rsid w:val="6ABA49EE"/>
    <w:rsid w:val="749363D8"/>
    <w:rsid w:val="789B6B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强子</cp:lastModifiedBy>
  <dcterms:modified xsi:type="dcterms:W3CDTF">2022-02-28T01:19:53Z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