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929"/>
        <w:gridCol w:w="485"/>
        <w:gridCol w:w="575"/>
        <w:gridCol w:w="714"/>
        <w:gridCol w:w="1695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重庆居易智能科技有限公司</w:t>
            </w:r>
          </w:p>
        </w:tc>
        <w:tc>
          <w:tcPr>
            <w:tcW w:w="152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28.07.01;28.09.02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资质范围内的电子与智能化、安防工程施工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0"/>
              </w:rPr>
              <w:t>信息系统集成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安防工程、</w:t>
            </w:r>
            <w:r>
              <w:rPr>
                <w:rFonts w:hint="eastAsia" w:ascii="宋体" w:hAnsi="宋体"/>
                <w:sz w:val="21"/>
                <w:szCs w:val="21"/>
              </w:rPr>
              <w:t>电子与智能化工程专业承包流程：签订合同——施工准备——开工——施工实施——阶段性验收——项目验收——交付</w:t>
            </w:r>
          </w:p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重要环境因素：</w:t>
            </w:r>
            <w:r>
              <w:rPr>
                <w:rFonts w:hint="eastAsia"/>
                <w:sz w:val="21"/>
                <w:szCs w:val="21"/>
              </w:rPr>
              <w:t>固废排放、火灾、爆炸（电气设备的运行）</w:t>
            </w:r>
            <w:r>
              <w:rPr>
                <w:rFonts w:hint="eastAsia"/>
                <w:sz w:val="21"/>
                <w:szCs w:val="21"/>
              </w:rPr>
              <w:t>、噪声排放。通过制定管理方案和应急预案进行控制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中华人民共和国环境噪声污染防治法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中华人民共和国环境影响评价法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中华人民共和国固体废物污染环境防治法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中华人民共和国节约能源法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污水排入城镇下水道水质标准（GB/T 31962-2015</w:t>
            </w:r>
            <w:r>
              <w:rPr>
                <w:rFonts w:hint="eastAsia" w:ascii="宋体" w:hAnsi="宋体"/>
                <w:sz w:val="21"/>
                <w:szCs w:val="21"/>
              </w:rPr>
              <w:t>）、大气污染物综合排放标准（GB 16297-1996</w:t>
            </w:r>
            <w:r>
              <w:rPr>
                <w:rFonts w:hint="eastAsia" w:ascii="宋体" w:hAnsi="宋体"/>
                <w:sz w:val="21"/>
                <w:szCs w:val="21"/>
              </w:rPr>
              <w:t>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163195</wp:posOffset>
                  </wp:positionV>
                  <wp:extent cx="375285" cy="401955"/>
                  <wp:effectExtent l="10160" t="9525" r="20955" b="20320"/>
                  <wp:wrapNone/>
                  <wp:docPr id="1" name="图片 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188595</wp:posOffset>
                  </wp:positionV>
                  <wp:extent cx="375285" cy="401955"/>
                  <wp:effectExtent l="10160" t="9525" r="20955" b="20320"/>
                  <wp:wrapNone/>
                  <wp:docPr id="3" name="图片 3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929"/>
        <w:gridCol w:w="485"/>
        <w:gridCol w:w="575"/>
        <w:gridCol w:w="714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重庆居易智能科技有限公司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28.07.01;28.09.02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资质范围内的电子与智能化、安防工程施工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0"/>
              </w:rPr>
              <w:t>信息系统集成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安防工程、</w:t>
            </w:r>
            <w:r>
              <w:rPr>
                <w:rFonts w:hint="eastAsia" w:ascii="宋体" w:hAnsi="宋体"/>
                <w:sz w:val="21"/>
                <w:szCs w:val="21"/>
              </w:rPr>
              <w:t>电子与智能化工程专业承包流程：签订合同——施工准备——开工——施工实施——阶段性验收——项目验收——交付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不可接受风险：火灾、易燃易爆、触电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、职业病（粉尘、噪声）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、物体打击、高处坠落、机械伤害等伤害。通过制定管理方案和应急预案进行控制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职业健康安全</w:t>
            </w: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安全生产法、中华人民共和国劳动法、中华人民共和国消防法、中华人民共和国职业病防治法、工伤保险条例、工作场所有害因素职业接触限值__第2部分：物理因素、企业职工伤亡事故报告和处理规定、企业职工伤亡事故分类标准、劳动防护用品配备标准、劳动防护用品管理规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color w:val="000000" w:themeColor="text1"/>
                <w:sz w:val="14"/>
                <w:szCs w:val="1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作业场所职业健康安全监测报告（适用时）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135890</wp:posOffset>
                  </wp:positionV>
                  <wp:extent cx="375285" cy="401955"/>
                  <wp:effectExtent l="10160" t="9525" r="20955" b="20320"/>
                  <wp:wrapNone/>
                  <wp:docPr id="4" name="图片 4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116840</wp:posOffset>
                  </wp:positionV>
                  <wp:extent cx="375285" cy="401955"/>
                  <wp:effectExtent l="10160" t="9525" r="20955" b="20320"/>
                  <wp:wrapNone/>
                  <wp:docPr id="5" name="图片 5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375285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7BD55E7"/>
    <w:rsid w:val="2B876DF4"/>
    <w:rsid w:val="5A6F7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2022-02-11T02:12:20Z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2052-11.1.0.11294</vt:lpwstr>
  </property>
</Properties>
</file>