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江苏新荣鹏石油机械有限公司</w:t>
            </w:r>
            <w:bookmarkEnd w:id="0"/>
            <w:r>
              <w:rPr>
                <w:rFonts w:hint="eastAsia"/>
                <w:color w:val="000000"/>
                <w:sz w:val="24"/>
                <w:szCs w:val="24"/>
              </w:rPr>
              <w:t xml:space="preserve">                 陪同人员：卞连珠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lang w:val="en-US" w:eastAsia="zh-CN"/>
              </w:rPr>
              <w:t>李俐、</w:t>
            </w:r>
            <w:r>
              <w:rPr>
                <w:rFonts w:hint="eastAsia"/>
                <w:color w:val="000000"/>
                <w:sz w:val="24"/>
                <w:szCs w:val="24"/>
              </w:rPr>
              <w:t>郭力</w:t>
            </w:r>
            <w:bookmarkEnd w:id="1"/>
            <w:r>
              <w:rPr>
                <w:rFonts w:hint="eastAsia"/>
                <w:color w:val="000000"/>
                <w:sz w:val="24"/>
                <w:szCs w:val="24"/>
              </w:rPr>
              <w:t xml:space="preserve">        审核时间：</w:t>
            </w:r>
            <w:bookmarkStart w:id="2" w:name="审核日期"/>
            <w:r>
              <w:rPr>
                <w:color w:val="000000"/>
              </w:rPr>
              <w:t>2022年01月26日 上午至2022年01月26日 上午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xml:space="preserve">：91320903MA1NLHBR1W </w:t>
            </w:r>
            <w:r>
              <w:rPr>
                <w:rFonts w:hint="eastAsia"/>
                <w:color w:val="000000"/>
                <w:szCs w:val="21"/>
              </w:rPr>
              <w:t>； 有效期：2017.03.21</w:t>
            </w:r>
            <w:r>
              <w:rPr>
                <w:rFonts w:hint="eastAsia"/>
                <w:color w:val="000000"/>
                <w:szCs w:val="21"/>
                <w:lang w:val="en-US" w:eastAsia="zh-CN"/>
              </w:rPr>
              <w:t>-长期</w:t>
            </w:r>
            <w:r>
              <w:rPr>
                <w:rFonts w:hint="eastAsia"/>
                <w:color w:val="000000"/>
                <w:szCs w:val="21"/>
              </w:rPr>
              <w:t>；</w:t>
            </w:r>
          </w:p>
          <w:p>
            <w:pPr>
              <w:spacing w:line="440" w:lineRule="exact"/>
              <w:ind w:firstLine="420" w:firstLineChars="200"/>
              <w:rPr>
                <w:rFonts w:hint="eastAsia"/>
                <w:color w:val="000000"/>
                <w:szCs w:val="21"/>
              </w:rPr>
            </w:pPr>
            <w:r>
              <w:rPr>
                <w:rFonts w:hint="eastAsia"/>
                <w:color w:val="000000"/>
                <w:szCs w:val="21"/>
              </w:rPr>
              <w:t>经营范围的</w:t>
            </w:r>
            <w:r>
              <w:rPr>
                <w:rFonts w:hint="eastAsia"/>
                <w:b/>
                <w:bCs/>
                <w:color w:val="000000"/>
                <w:szCs w:val="21"/>
              </w:rPr>
              <w:t>相</w:t>
            </w:r>
            <w:r>
              <w:rPr>
                <w:rFonts w:hint="eastAsia"/>
                <w:color w:val="000000"/>
                <w:szCs w:val="21"/>
              </w:rPr>
              <w:t>关描述</w:t>
            </w:r>
            <w:r>
              <w:rPr>
                <w:rFonts w:hint="eastAsia"/>
                <w:color w:val="000000"/>
                <w:szCs w:val="21"/>
              </w:rPr>
              <w:t>：石油钻采专用设备及配件、钻探设备及配件、抽油泵及配件、螺杆钻具、套管头、扶正器、防喷器、锚定器、封隔器、盘根盒、阀门、旋塞、节流管汇、压井管汇、采油设备及配件、液压和气动机械及元件、电工机械专用设备、皮革及制品加工专用设备制造、研发、销售、维修及技术咨询服务</w:t>
            </w:r>
            <w:r>
              <w:rPr>
                <w:rFonts w:hint="eastAsia"/>
                <w:color w:val="000000"/>
                <w:szCs w:val="21"/>
              </w:rPr>
              <w:t>；</w:t>
            </w:r>
          </w:p>
          <w:p>
            <w:pPr>
              <w:spacing w:line="440" w:lineRule="exact"/>
              <w:ind w:firstLine="420" w:firstLineChars="200"/>
              <w:rPr>
                <w:rFonts w:hint="eastAsia"/>
                <w:color w:val="000000"/>
              </w:rPr>
            </w:pPr>
            <w:r>
              <w:rPr>
                <w:rFonts w:hint="eastAsia"/>
                <w:color w:val="000000"/>
              </w:rPr>
              <w:t>认证申请范围：E：盘根盒、螺杆钻具、石油钻采专用设备及其配件的生产和销售；钻探设备及配件、抽油泵及配件、螺杆钻具、套管头、扶正器、防喷器、锚定器、封隔器、阀门、旋塞、节流管汇、压井管汇、采油设备及配件、液压和气动机械及元件、电工机械专用设备的销售所涉及场所的相关环境管理活动</w:t>
            </w:r>
          </w:p>
          <w:p>
            <w:pPr>
              <w:spacing w:line="440" w:lineRule="exact"/>
              <w:ind w:firstLine="420" w:firstLineChars="200"/>
              <w:rPr>
                <w:color w:val="000000"/>
                <w:szCs w:val="21"/>
              </w:rPr>
            </w:pPr>
            <w:r>
              <w:rPr>
                <w:rFonts w:hint="eastAsia"/>
                <w:color w:val="000000"/>
              </w:rPr>
              <w:t>O：盘根盒、螺杆钻具、石油钻采专用设备及其配件的生产和销售；钻探设备及配件、抽油泵及配件、螺杆钻具、套管头、扶正器、防喷器、锚定器、封隔器、阀门、旋塞、节流管汇、压井管汇、采油设备及配件、液压和气动机械及元件、电工机械专用设备的销售所涉及场所的相关职业健康安全管理管理活动</w:t>
            </w:r>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rFonts w:hint="eastAsia"/>
                <w:color w:val="000000"/>
                <w:szCs w:val="21"/>
              </w:rPr>
              <w:t>； 有效期：；</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注册地址：盐城市盐都区大冈镇卧龙西路88号（N）</w:t>
            </w:r>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经营地址：盐城市盐都区大冈镇卧龙西路88号（N）</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rPr>
              <w:t>生产/服务流程图：</w:t>
            </w:r>
          </w:p>
          <w:p>
            <w:pPr>
              <w:rPr>
                <w:color w:val="000000"/>
                <w:szCs w:val="18"/>
              </w:rPr>
            </w:pPr>
            <w:r>
              <w:rPr>
                <w:rFonts w:hint="eastAsia"/>
                <w:color w:val="000000"/>
                <w:szCs w:val="18"/>
              </w:rPr>
              <w:t>下料→粗加工→→精加工→成品检验→打码及产品标识→包装入库</w:t>
            </w:r>
          </w:p>
          <w:p>
            <w:pPr>
              <w:rPr>
                <w:color w:val="000000"/>
                <w:szCs w:val="18"/>
              </w:rPr>
            </w:pPr>
            <w:r>
              <w:rPr>
                <w:rFonts w:hint="eastAsia"/>
                <w:color w:val="000000"/>
                <w:szCs w:val="18"/>
              </w:rPr>
              <w:t>签订销售合同→实施采购→送货→检验→交付</w:t>
            </w:r>
          </w:p>
          <w:p>
            <w:pPr>
              <w:rPr>
                <w:color w:val="000000"/>
                <w:szCs w:val="18"/>
              </w:rPr>
            </w:pP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lang w:val="en-US" w:eastAsia="zh-CN"/>
              </w:rPr>
              <w:t>20</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rFonts w:hint="eastAsia"/>
                <w:color w:val="000000"/>
                <w:szCs w:val="18"/>
                <w:lang w:val="en-US" w:eastAsia="zh-CN"/>
              </w:rPr>
              <w:t>4</w:t>
            </w:r>
            <w:r>
              <w:rPr>
                <w:rFonts w:hint="eastAsia"/>
                <w:color w:val="000000"/>
                <w:szCs w:val="21"/>
              </w:rPr>
              <w:t>人</w:t>
            </w:r>
            <w:r>
              <w:rPr>
                <w:rFonts w:hint="eastAsia"/>
                <w:color w:val="000000"/>
                <w:szCs w:val="18"/>
              </w:rPr>
              <w:t>；操作人员</w:t>
            </w:r>
            <w:r>
              <w:rPr>
                <w:rFonts w:hint="eastAsia"/>
                <w:color w:val="000000"/>
                <w:szCs w:val="18"/>
                <w:lang w:val="en-US" w:eastAsia="zh-CN"/>
              </w:rPr>
              <w:t>16</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lang w:val="en-US" w:eastAsia="zh-CN"/>
              </w:rPr>
              <w:t>2020</w:t>
            </w:r>
            <w:r>
              <w:rPr>
                <w:rFonts w:hint="eastAsia"/>
                <w:color w:val="000000"/>
                <w:szCs w:val="18"/>
              </w:rPr>
              <w:t>年</w:t>
            </w:r>
            <w:r>
              <w:rPr>
                <w:rFonts w:hint="eastAsia"/>
                <w:color w:val="000000"/>
                <w:szCs w:val="18"/>
                <w:lang w:val="en-US" w:eastAsia="zh-CN"/>
              </w:rPr>
              <w:t>9</w:t>
            </w:r>
            <w:r>
              <w:rPr>
                <w:rFonts w:hint="eastAsia"/>
                <w:color w:val="000000"/>
                <w:szCs w:val="18"/>
              </w:rPr>
              <w:t>月</w:t>
            </w:r>
            <w:r>
              <w:rPr>
                <w:rFonts w:hint="eastAsia"/>
                <w:color w:val="000000"/>
                <w:szCs w:val="18"/>
                <w:lang w:val="en-US" w:eastAsia="zh-CN"/>
              </w:rPr>
              <w:t>1</w:t>
            </w:r>
            <w:r>
              <w:rPr>
                <w:rFonts w:hint="eastAsia"/>
                <w:color w:val="000000"/>
                <w:szCs w:val="18"/>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9</w:t>
            </w:r>
            <w:r>
              <w:rPr>
                <w:rFonts w:hint="eastAsia"/>
                <w:color w:val="000000"/>
                <w:szCs w:val="18"/>
              </w:rPr>
              <w:t>月</w:t>
            </w:r>
            <w:r>
              <w:rPr>
                <w:rFonts w:hint="eastAsia"/>
                <w:color w:val="000000"/>
                <w:szCs w:val="18"/>
                <w:lang w:val="en-US" w:eastAsia="zh-CN"/>
              </w:rPr>
              <w:t>1</w:t>
            </w:r>
            <w:r>
              <w:rPr>
                <w:rFonts w:hint="eastAsia"/>
                <w:color w:val="000000"/>
                <w:szCs w:val="18"/>
              </w:rPr>
              <w:t>日</w:t>
            </w:r>
          </w:p>
          <w:p>
            <w:pPr>
              <w:rPr>
                <w:color w:val="000000"/>
                <w:szCs w:val="21"/>
              </w:rPr>
            </w:pPr>
            <w:r>
              <w:rPr>
                <w:rFonts w:hint="eastAsia"/>
                <w:color w:val="000000"/>
                <w:szCs w:val="21"/>
              </w:rPr>
              <w:t xml:space="preserve">□QMS  </w:t>
            </w:r>
            <w:r>
              <w:rPr>
                <w:rFonts w:hint="eastAsia"/>
                <w:color w:val="000000"/>
                <w:szCs w:val="21"/>
              </w:rPr>
              <w:sym w:font="Wingdings 2" w:char="0052"/>
            </w:r>
            <w:r>
              <w:rPr>
                <w:rFonts w:hint="eastAsia"/>
                <w:color w:val="000000"/>
                <w:szCs w:val="21"/>
              </w:rPr>
              <w:t xml:space="preserve">EMS  </w:t>
            </w:r>
            <w:r>
              <w:rPr>
                <w:rFonts w:hint="eastAsia"/>
                <w:color w:val="000000"/>
                <w:szCs w:val="21"/>
              </w:rPr>
              <w:sym w:font="Wingdings 2" w:char="0052"/>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rFonts w:hint="eastAsia" w:eastAsia="宋体"/>
                <w:color w:val="000000"/>
                <w:szCs w:val="18"/>
                <w:lang w:val="en-US" w:eastAsia="zh-CN"/>
              </w:rPr>
            </w:pPr>
            <w:r>
              <w:rPr>
                <w:rFonts w:hint="eastAsia"/>
                <w:color w:val="000000"/>
                <w:szCs w:val="18"/>
              </w:rPr>
              <w:t>- 确定外部提供过程、产品和服务（外包过程）：</w:t>
            </w:r>
            <w:r>
              <w:rPr>
                <w:rFonts w:hint="eastAsia"/>
                <w:color w:val="000000"/>
                <w:szCs w:val="18"/>
                <w:lang w:val="en-US" w:eastAsia="zh-CN"/>
              </w:rPr>
              <w:t>无</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eastAsia"/>
                <w:color w:val="000000"/>
                <w:szCs w:val="18"/>
              </w:rPr>
            </w:pPr>
            <w:r>
              <w:rPr>
                <w:rFonts w:hint="eastAsia"/>
                <w:color w:val="000000"/>
                <w:szCs w:val="18"/>
              </w:rPr>
              <w:t>组织文件化的管理方针已制定，内容为：</w:t>
            </w:r>
          </w:p>
          <w:p>
            <w:pPr>
              <w:widowControl/>
              <w:spacing w:before="40"/>
              <w:jc w:val="left"/>
              <w:rPr>
                <w:rFonts w:hint="eastAsia"/>
                <w:color w:val="000000"/>
                <w:szCs w:val="18"/>
              </w:rPr>
            </w:pPr>
            <w:r>
              <w:rPr>
                <w:rFonts w:hint="eastAsia"/>
                <w:color w:val="000000"/>
                <w:szCs w:val="18"/>
              </w:rPr>
              <w:t>质量精益求精，服务及时周到；</w:t>
            </w:r>
          </w:p>
          <w:p>
            <w:pPr>
              <w:widowControl/>
              <w:spacing w:before="40"/>
              <w:jc w:val="left"/>
              <w:rPr>
                <w:rFonts w:hint="eastAsia"/>
                <w:color w:val="000000"/>
                <w:szCs w:val="18"/>
              </w:rPr>
            </w:pPr>
            <w:r>
              <w:rPr>
                <w:rFonts w:hint="eastAsia"/>
                <w:color w:val="000000"/>
                <w:szCs w:val="18"/>
              </w:rPr>
              <w:t>实现污染预防，注重节能降耗；</w:t>
            </w:r>
          </w:p>
          <w:p>
            <w:pPr>
              <w:widowControl/>
              <w:spacing w:before="40"/>
              <w:jc w:val="left"/>
              <w:rPr>
                <w:rFonts w:hint="eastAsia"/>
                <w:color w:val="000000"/>
                <w:szCs w:val="18"/>
              </w:rPr>
            </w:pPr>
            <w:r>
              <w:rPr>
                <w:rFonts w:hint="eastAsia"/>
                <w:color w:val="000000"/>
                <w:szCs w:val="18"/>
              </w:rPr>
              <w:t>及时消除隐患，保障健康安全；</w:t>
            </w:r>
          </w:p>
          <w:p>
            <w:pPr>
              <w:widowControl/>
              <w:spacing w:before="40"/>
              <w:jc w:val="left"/>
              <w:rPr>
                <w:color w:val="000000"/>
                <w:szCs w:val="18"/>
              </w:rPr>
            </w:pPr>
            <w:r>
              <w:rPr>
                <w:rFonts w:hint="eastAsia"/>
                <w:color w:val="000000"/>
                <w:szCs w:val="18"/>
              </w:rPr>
              <w:t>遵守法律法规，坚持持续改进。</w:t>
            </w: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t>□标语 □</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rFonts w:hint="eastAsia" w:hAnsi="宋体"/>
                      <w:snapToGrid w:val="0"/>
                    </w:rPr>
                  </w:pPr>
                  <w:r>
                    <w:rPr>
                      <w:rFonts w:hint="eastAsia" w:hAnsi="宋体"/>
                      <w:snapToGrid w:val="0"/>
                    </w:rPr>
                    <w:t>固体废物收集、分类、统一处理</w:t>
                  </w:r>
                </w:p>
              </w:tc>
              <w:tc>
                <w:tcPr>
                  <w:tcW w:w="1387" w:type="dxa"/>
                </w:tcPr>
                <w:p>
                  <w:pPr>
                    <w:widowControl/>
                    <w:spacing w:before="40"/>
                    <w:jc w:val="left"/>
                    <w:rPr>
                      <w:rFonts w:hint="default" w:hAnsi="宋体"/>
                      <w:snapToGrid w:val="0"/>
                      <w:lang w:val="en-US" w:eastAsia="zh-CN"/>
                    </w:rPr>
                  </w:pPr>
                  <w:r>
                    <w:rPr>
                      <w:rFonts w:hint="eastAsia" w:hAnsi="宋体"/>
                      <w:snapToGrid w:val="0"/>
                      <w:lang w:val="en-US" w:eastAsia="zh-CN"/>
                    </w:rPr>
                    <w:t>每年一次</w:t>
                  </w:r>
                </w:p>
              </w:tc>
              <w:tc>
                <w:tcPr>
                  <w:tcW w:w="3499" w:type="dxa"/>
                </w:tcPr>
                <w:p>
                  <w:pPr>
                    <w:widowControl/>
                    <w:spacing w:before="40"/>
                    <w:jc w:val="left"/>
                    <w:rPr>
                      <w:rFonts w:hint="default" w:hAnsi="宋体"/>
                      <w:snapToGrid w:val="0"/>
                      <w:lang w:val="en-US" w:eastAsia="zh-CN"/>
                    </w:rPr>
                  </w:pPr>
                  <w:r>
                    <w:rPr>
                      <w:rFonts w:hint="eastAsia" w:hAnsi="宋体"/>
                      <w:snapToGrid w:val="0"/>
                      <w:lang w:val="en-US" w:eastAsia="zh-CN"/>
                    </w:rPr>
                    <w:t>实际统计</w:t>
                  </w:r>
                </w:p>
              </w:tc>
              <w:tc>
                <w:tcPr>
                  <w:tcW w:w="2444" w:type="dxa"/>
                  <w:vAlign w:val="center"/>
                </w:tcPr>
                <w:p>
                  <w:pPr>
                    <w:widowControl/>
                    <w:spacing w:before="40"/>
                    <w:jc w:val="left"/>
                    <w:rPr>
                      <w:rFonts w:hint="eastAsia" w:hAnsi="宋体"/>
                      <w:snapToGrid w:val="0"/>
                    </w:rPr>
                  </w:pPr>
                  <w:r>
                    <w:rPr>
                      <w:rFonts w:hint="eastAsia" w:hAnsi="宋体"/>
                      <w:snapToGrid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rFonts w:hint="eastAsia" w:hAnsi="宋体"/>
                      <w:snapToGrid w:val="0"/>
                    </w:rPr>
                  </w:pPr>
                  <w:r>
                    <w:rPr>
                      <w:rFonts w:hint="eastAsia" w:hAnsi="宋体"/>
                      <w:snapToGrid w:val="0"/>
                    </w:rPr>
                    <w:t>噪声达标排放</w:t>
                  </w:r>
                </w:p>
              </w:tc>
              <w:tc>
                <w:tcPr>
                  <w:tcW w:w="1387" w:type="dxa"/>
                </w:tcPr>
                <w:p>
                  <w:pPr>
                    <w:widowControl/>
                    <w:spacing w:before="40"/>
                    <w:jc w:val="left"/>
                    <w:rPr>
                      <w:rFonts w:hint="eastAsia" w:hAnsi="宋体"/>
                      <w:snapToGrid w:val="0"/>
                    </w:rPr>
                  </w:pPr>
                  <w:r>
                    <w:rPr>
                      <w:rFonts w:hint="eastAsia" w:hAnsi="宋体"/>
                      <w:snapToGrid w:val="0"/>
                      <w:lang w:val="en-US" w:eastAsia="zh-CN"/>
                    </w:rPr>
                    <w:t>每年一次</w:t>
                  </w:r>
                </w:p>
              </w:tc>
              <w:tc>
                <w:tcPr>
                  <w:tcW w:w="3499" w:type="dxa"/>
                </w:tcPr>
                <w:p>
                  <w:pPr>
                    <w:widowControl/>
                    <w:spacing w:before="40"/>
                    <w:jc w:val="left"/>
                    <w:rPr>
                      <w:rFonts w:hint="eastAsia" w:hAnsi="宋体"/>
                      <w:snapToGrid w:val="0"/>
                    </w:rPr>
                  </w:pPr>
                  <w:r>
                    <w:rPr>
                      <w:rFonts w:hint="eastAsia" w:hAnsi="宋体"/>
                      <w:snapToGrid w:val="0"/>
                      <w:lang w:val="en-US" w:eastAsia="zh-CN"/>
                    </w:rPr>
                    <w:t>实际统计</w:t>
                  </w:r>
                </w:p>
              </w:tc>
              <w:tc>
                <w:tcPr>
                  <w:tcW w:w="2444" w:type="dxa"/>
                  <w:vAlign w:val="center"/>
                </w:tcPr>
                <w:p>
                  <w:pPr>
                    <w:widowControl/>
                    <w:spacing w:before="40"/>
                    <w:jc w:val="left"/>
                    <w:rPr>
                      <w:rFonts w:hint="eastAsia" w:hAnsi="宋体"/>
                      <w:snapToGrid w:val="0"/>
                    </w:rPr>
                  </w:pPr>
                  <w:r>
                    <w:rPr>
                      <w:rFonts w:hint="eastAsia" w:hAnsi="宋体"/>
                      <w:snapToGrid w:val="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rFonts w:hint="eastAsia" w:hAnsi="宋体"/>
                      <w:snapToGrid w:val="0"/>
                    </w:rPr>
                  </w:pPr>
                  <w:r>
                    <w:rPr>
                      <w:rFonts w:hint="eastAsia" w:hAnsi="宋体"/>
                      <w:snapToGrid w:val="0"/>
                    </w:rPr>
                    <w:t>杜绝重伤、死亡事件</w:t>
                  </w:r>
                </w:p>
              </w:tc>
              <w:tc>
                <w:tcPr>
                  <w:tcW w:w="1387" w:type="dxa"/>
                </w:tcPr>
                <w:p>
                  <w:pPr>
                    <w:widowControl/>
                    <w:spacing w:before="40"/>
                    <w:jc w:val="left"/>
                    <w:rPr>
                      <w:rFonts w:hint="eastAsia" w:hAnsi="宋体"/>
                      <w:snapToGrid w:val="0"/>
                    </w:rPr>
                  </w:pPr>
                  <w:r>
                    <w:rPr>
                      <w:rFonts w:hint="eastAsia" w:hAnsi="宋体"/>
                      <w:snapToGrid w:val="0"/>
                      <w:lang w:val="en-US" w:eastAsia="zh-CN"/>
                    </w:rPr>
                    <w:t>每年一次</w:t>
                  </w:r>
                </w:p>
              </w:tc>
              <w:tc>
                <w:tcPr>
                  <w:tcW w:w="3499" w:type="dxa"/>
                </w:tcPr>
                <w:p>
                  <w:pPr>
                    <w:widowControl/>
                    <w:spacing w:before="40"/>
                    <w:jc w:val="left"/>
                    <w:rPr>
                      <w:rFonts w:hint="eastAsia" w:hAnsi="宋体"/>
                      <w:snapToGrid w:val="0"/>
                    </w:rPr>
                  </w:pPr>
                  <w:r>
                    <w:rPr>
                      <w:rFonts w:hint="eastAsia" w:hAnsi="宋体"/>
                      <w:snapToGrid w:val="0"/>
                      <w:lang w:val="en-US" w:eastAsia="zh-CN"/>
                    </w:rPr>
                    <w:t>实际统计</w:t>
                  </w:r>
                </w:p>
              </w:tc>
              <w:tc>
                <w:tcPr>
                  <w:tcW w:w="2444" w:type="dxa"/>
                  <w:vAlign w:val="center"/>
                </w:tcPr>
                <w:p>
                  <w:pPr>
                    <w:widowControl/>
                    <w:spacing w:before="40"/>
                    <w:jc w:val="left"/>
                    <w:rPr>
                      <w:rFonts w:hint="eastAsia" w:hAnsi="宋体"/>
                      <w:snapToGrid w:val="0"/>
                    </w:rPr>
                  </w:pPr>
                  <w:r>
                    <w:rPr>
                      <w:rFonts w:hint="eastAsia" w:hAnsi="宋体"/>
                      <w:snapToGrid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rFonts w:hint="eastAsia" w:hAnsi="宋体"/>
                      <w:snapToGrid w:val="0"/>
                    </w:rPr>
                  </w:pPr>
                  <w:r>
                    <w:rPr>
                      <w:rFonts w:hint="eastAsia" w:hAnsi="宋体"/>
                      <w:snapToGrid w:val="0"/>
                    </w:rPr>
                    <w:t>杜绝火灾爆炸事件</w:t>
                  </w:r>
                </w:p>
              </w:tc>
              <w:tc>
                <w:tcPr>
                  <w:tcW w:w="1387" w:type="dxa"/>
                </w:tcPr>
                <w:p>
                  <w:pPr>
                    <w:widowControl/>
                    <w:spacing w:before="40"/>
                    <w:jc w:val="left"/>
                    <w:rPr>
                      <w:rFonts w:hint="eastAsia" w:hAnsi="宋体"/>
                      <w:snapToGrid w:val="0"/>
                    </w:rPr>
                  </w:pPr>
                  <w:r>
                    <w:rPr>
                      <w:rFonts w:hint="eastAsia" w:hAnsi="宋体"/>
                      <w:snapToGrid w:val="0"/>
                      <w:lang w:val="en-US" w:eastAsia="zh-CN"/>
                    </w:rPr>
                    <w:t>每年一次</w:t>
                  </w:r>
                </w:p>
              </w:tc>
              <w:tc>
                <w:tcPr>
                  <w:tcW w:w="3499" w:type="dxa"/>
                </w:tcPr>
                <w:p>
                  <w:pPr>
                    <w:widowControl/>
                    <w:spacing w:before="40"/>
                    <w:jc w:val="left"/>
                    <w:rPr>
                      <w:rFonts w:hint="eastAsia" w:hAnsi="宋体"/>
                      <w:snapToGrid w:val="0"/>
                    </w:rPr>
                  </w:pPr>
                  <w:r>
                    <w:rPr>
                      <w:rFonts w:hint="eastAsia" w:hAnsi="宋体"/>
                      <w:snapToGrid w:val="0"/>
                      <w:lang w:val="en-US" w:eastAsia="zh-CN"/>
                    </w:rPr>
                    <w:t>实际统计</w:t>
                  </w:r>
                </w:p>
              </w:tc>
              <w:tc>
                <w:tcPr>
                  <w:tcW w:w="2444" w:type="dxa"/>
                  <w:vAlign w:val="center"/>
                </w:tcPr>
                <w:p>
                  <w:pPr>
                    <w:widowControl/>
                    <w:spacing w:before="40"/>
                    <w:jc w:val="left"/>
                    <w:rPr>
                      <w:rFonts w:hint="eastAsia" w:hAnsi="宋体"/>
                      <w:snapToGrid w:val="0"/>
                    </w:rPr>
                  </w:pPr>
                  <w:r>
                    <w:rPr>
                      <w:rFonts w:hint="eastAsia" w:hAnsi="宋体"/>
                      <w:snapToGrid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rFonts w:hint="eastAsia" w:hAnsi="宋体"/>
                      <w:snapToGrid w:val="0"/>
                    </w:rPr>
                  </w:pPr>
                  <w:r>
                    <w:rPr>
                      <w:rFonts w:hint="eastAsia" w:hAnsi="宋体"/>
                      <w:snapToGrid w:val="0"/>
                    </w:rPr>
                    <w:t>杜绝机械伤害、触电事故</w:t>
                  </w:r>
                </w:p>
              </w:tc>
              <w:tc>
                <w:tcPr>
                  <w:tcW w:w="1387" w:type="dxa"/>
                </w:tcPr>
                <w:p>
                  <w:pPr>
                    <w:widowControl/>
                    <w:spacing w:before="40"/>
                    <w:jc w:val="left"/>
                    <w:rPr>
                      <w:rFonts w:hint="eastAsia" w:hAnsi="宋体"/>
                      <w:snapToGrid w:val="0"/>
                    </w:rPr>
                  </w:pPr>
                  <w:r>
                    <w:rPr>
                      <w:rFonts w:hint="eastAsia" w:hAnsi="宋体"/>
                      <w:snapToGrid w:val="0"/>
                      <w:lang w:val="en-US" w:eastAsia="zh-CN"/>
                    </w:rPr>
                    <w:t>每年一次</w:t>
                  </w:r>
                </w:p>
              </w:tc>
              <w:tc>
                <w:tcPr>
                  <w:tcW w:w="3499" w:type="dxa"/>
                </w:tcPr>
                <w:p>
                  <w:pPr>
                    <w:widowControl/>
                    <w:spacing w:before="40"/>
                    <w:jc w:val="left"/>
                    <w:rPr>
                      <w:rFonts w:hint="eastAsia" w:hAnsi="宋体"/>
                      <w:snapToGrid w:val="0"/>
                    </w:rPr>
                  </w:pPr>
                  <w:r>
                    <w:rPr>
                      <w:rFonts w:hint="eastAsia" w:hAnsi="宋体"/>
                      <w:snapToGrid w:val="0"/>
                      <w:lang w:val="en-US" w:eastAsia="zh-CN"/>
                    </w:rPr>
                    <w:t>实际统计</w:t>
                  </w:r>
                </w:p>
              </w:tc>
              <w:tc>
                <w:tcPr>
                  <w:tcW w:w="2444" w:type="dxa"/>
                  <w:vAlign w:val="center"/>
                </w:tcPr>
                <w:p>
                  <w:pPr>
                    <w:widowControl/>
                    <w:spacing w:before="40"/>
                    <w:jc w:val="left"/>
                    <w:rPr>
                      <w:rFonts w:hint="eastAsia" w:hAnsi="宋体"/>
                      <w:snapToGrid w:val="0"/>
                    </w:rPr>
                  </w:pPr>
                  <w:r>
                    <w:rPr>
                      <w:rFonts w:hint="eastAsia" w:hAnsi="宋体"/>
                      <w:snapToGrid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00"/>
                <w:szCs w:val="18"/>
                <w:lang w:val="en-US" w:eastAsia="zh-CN"/>
              </w:rPr>
              <w:t>1</w:t>
            </w:r>
            <w:r>
              <w:rPr>
                <w:rFonts w:hint="eastAsia"/>
                <w:color w:val="000000"/>
                <w:szCs w:val="18"/>
              </w:rPr>
              <w:t xml:space="preserve">份；覆盖了 </w:t>
            </w:r>
            <w:r>
              <w:rPr>
                <w:rFonts w:hint="eastAsia"/>
                <w:color w:val="000000"/>
                <w:szCs w:val="21"/>
              </w:rPr>
              <w:sym w:font="Wingdings 2" w:char="0052"/>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sym w:font="Wingdings 2" w:char="0052"/>
            </w:r>
            <w:r>
              <w:rPr>
                <w:color w:val="000000"/>
                <w:spacing w:val="-2"/>
                <w:szCs w:val="21"/>
              </w:rPr>
              <w:t xml:space="preserve">EMS </w:t>
            </w:r>
            <w:r>
              <w:rPr>
                <w:rFonts w:hint="eastAsia"/>
                <w:color w:val="000000"/>
                <w:szCs w:val="21"/>
              </w:rPr>
              <w:sym w:font="Wingdings 2" w:char="0052"/>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34</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lang w:val="en-US" w:eastAsia="zh-CN"/>
              </w:rPr>
              <w:t>26</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lang w:val="en-US" w:eastAsia="zh-CN"/>
              </w:rPr>
              <w:t>98</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自管理体系建立后，于2021年12月10日-11日实施了内部审核；记录包括：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自管理体系建立后，于2021年12月30日实施了管理评审；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p>
          <w:p>
            <w:pPr>
              <w:rPr>
                <w:color w:val="000000"/>
              </w:rPr>
            </w:pPr>
            <w:r>
              <w:rPr>
                <w:rFonts w:ascii="Wingdings" w:hAnsi="Wingdings"/>
                <w:color w:val="000000"/>
              </w:rPr>
              <w:sym w:font="Wingdings" w:char="00A8"/>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pPr>
              <w:rPr>
                <w:color w:val="000000"/>
              </w:rPr>
            </w:pPr>
          </w:p>
          <w:p>
            <w:pPr>
              <w:rPr>
                <w:color w:val="000000"/>
                <w:szCs w:val="18"/>
                <w:u w:val="single"/>
              </w:rPr>
            </w:pPr>
            <w:r>
              <w:rPr>
                <w:color w:val="000000"/>
                <w:szCs w:val="18"/>
              </w:rPr>
              <w:t>查看《排污许可证》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p>
          <w:p>
            <w:pPr>
              <w:rPr>
                <w:color w:val="000000"/>
                <w:szCs w:val="18"/>
              </w:rPr>
            </w:pPr>
            <w:r>
              <w:rPr>
                <w:rFonts w:hint="eastAsia"/>
                <w:color w:val="000000"/>
                <w:szCs w:val="18"/>
              </w:rPr>
              <w:t>- 查看环境因素的识别的充分性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-了解危险化学品的MSDS的收集情况</w:t>
            </w:r>
            <w:bookmarkStart w:id="3" w:name="_GoBack"/>
            <w:bookmarkEnd w:id="3"/>
          </w:p>
          <w:p>
            <w:pPr>
              <w:ind w:firstLine="210" w:firstLineChars="1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rFonts w:hint="default" w:eastAsia="宋体"/>
                <w:color w:val="000000"/>
                <w:shd w:val="pct10" w:color="auto" w:fill="FFFFFF"/>
                <w:lang w:val="en-US" w:eastAsia="zh-CN"/>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进行应急演练，说明：2021.8.16火灾</w:t>
            </w:r>
            <w:r>
              <w:rPr>
                <w:rFonts w:hint="eastAsia"/>
                <w:color w:val="000000"/>
                <w:lang w:val="en-US" w:eastAsia="zh-CN"/>
              </w:rPr>
              <w:t>应急演练</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t>¨</w:t>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sym w:font="Wingdings" w:char="00FE"/>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sym w:font="Wingdings" w:char="00FE"/>
            </w:r>
            <w:r>
              <w:rPr>
                <w:rFonts w:hint="eastAsia"/>
                <w:color w:val="000000"/>
              </w:rPr>
              <w:t xml:space="preserve">工业区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sym w:font="Wingdings" w:char="00FE"/>
            </w:r>
            <w:r>
              <w:rPr>
                <w:rFonts w:hint="eastAsia"/>
                <w:color w:val="000000"/>
              </w:rPr>
              <w:t xml:space="preserve">水   </w:t>
            </w:r>
            <w:r>
              <w:rPr>
                <w:rFonts w:ascii="Wingdings" w:hAnsi="Wingdings"/>
                <w:color w:val="000000"/>
              </w:rPr>
              <w:sym w:font="Wingdings" w:char="00FE"/>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t>¨</w:t>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sym w:font="Wingdings" w:char="00FE"/>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sym w:font="Wingdings" w:char="00FE"/>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sym w:font="Wingdings" w:char="00A8"/>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p>
          <w:p>
            <w:pPr>
              <w:rPr>
                <w:color w:val="000000"/>
              </w:rPr>
            </w:pPr>
          </w:p>
          <w:p>
            <w:pPr>
              <w:rPr>
                <w:color w:val="000000"/>
                <w:szCs w:val="18"/>
              </w:rPr>
            </w:pPr>
            <w:r>
              <w:rPr>
                <w:rFonts w:hint="eastAsia"/>
                <w:color w:val="000000"/>
                <w:szCs w:val="18"/>
              </w:rPr>
              <w:t>- 查看危险源的辨识的充分性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rFonts w:hint="default" w:eastAsia="宋体"/>
                <w:color w:val="000000"/>
                <w:u w:val="single"/>
                <w:lang w:val="en-US" w:eastAsia="zh-CN"/>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进行应急演练，说明：2021.9.27触电</w:t>
            </w:r>
            <w:r>
              <w:rPr>
                <w:rFonts w:hint="eastAsia"/>
                <w:color w:val="000000"/>
                <w:lang w:val="en-US" w:eastAsia="zh-CN"/>
              </w:rPr>
              <w:t>应急演练</w:t>
            </w:r>
          </w:p>
          <w:p>
            <w:pPr>
              <w:ind w:firstLine="210" w:firstLineChars="100"/>
              <w:rPr>
                <w:color w:val="000000"/>
                <w:u w:val="single"/>
              </w:rPr>
            </w:pPr>
          </w:p>
          <w:p>
            <w:pPr>
              <w:rPr>
                <w:color w:val="000000"/>
                <w:szCs w:val="18"/>
              </w:rPr>
            </w:pP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t>¨</w:t>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sym w:font="Wingdings" w:char="00A8"/>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pPr>
              <w:widowControl/>
              <w:spacing w:before="40"/>
              <w:ind w:firstLine="210" w:firstLineChars="100"/>
              <w:jc w:val="left"/>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ascii="Wingdings" w:hAnsi="Wingdings"/>
                <w:color w:val="000000"/>
              </w:rPr>
              <w:t>¨</w:t>
            </w:r>
            <w:r>
              <w:rPr>
                <w:rFonts w:hint="eastAsia" w:ascii="PMingLiU" w:hAnsi="PMingLiU" w:eastAsia="PMingLiU" w:cs="PMingLiU"/>
                <w:color w:val="000000"/>
                <w:kern w:val="0"/>
                <w:sz w:val="24"/>
              </w:rPr>
              <w:t>大型游乐设施</w:t>
            </w:r>
          </w:p>
          <w:p>
            <w:pPr>
              <w:ind w:firstLine="210" w:firstLineChars="100"/>
              <w:rPr>
                <w:color w:val="000000"/>
                <w:u w:val="single"/>
              </w:rPr>
            </w:pPr>
          </w:p>
          <w:p>
            <w:pPr>
              <w:rPr>
                <w:color w:val="000000"/>
                <w:szCs w:val="18"/>
              </w:rPr>
            </w:pPr>
            <w:r>
              <w:rPr>
                <w:rFonts w:hint="eastAsia"/>
                <w:color w:val="000000"/>
                <w:szCs w:val="18"/>
              </w:rPr>
              <w:t>-了解三级安全教育的实施</w:t>
            </w:r>
          </w:p>
          <w:p>
            <w:pPr>
              <w:ind w:firstLine="210" w:firstLineChars="100"/>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ind w:firstLine="210" w:firstLineChars="100"/>
              <w:rPr>
                <w:color w:val="000000"/>
                <w:u w:val="single"/>
              </w:rPr>
            </w:pPr>
          </w:p>
          <w:p>
            <w:pPr>
              <w:rPr>
                <w:color w:val="000000"/>
                <w:szCs w:val="18"/>
              </w:rPr>
            </w:pP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sym w:font="Wingdings" w:char="00FE"/>
            </w:r>
            <w:r>
              <w:rPr>
                <w:rFonts w:hint="eastAsia"/>
                <w:color w:val="000000"/>
              </w:rPr>
              <w:t xml:space="preserve">工业区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□化学伤害  </w:t>
            </w:r>
            <w:r>
              <w:rPr>
                <w:rFonts w:hint="eastAsia"/>
              </w:rPr>
              <w:sym w:font="Wingdings 2" w:char="0052"/>
            </w:r>
            <w:r>
              <w:rPr>
                <w:rFonts w:hint="eastAsia"/>
              </w:rPr>
              <w:t xml:space="preserve">噪声 □粉尘  □危险作业 □高低温  □危化品泄露 </w:t>
            </w:r>
          </w:p>
          <w:p>
            <w:pPr>
              <w:widowControl/>
              <w:spacing w:before="40"/>
              <w:ind w:firstLine="210" w:firstLineChars="100"/>
              <w:jc w:val="left"/>
            </w:pPr>
            <w:r>
              <w:rPr>
                <w:rFonts w:hint="eastAsia"/>
              </w:rPr>
              <w:t>□压力容器爆炸  □火灾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t>¨</w:t>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sym w:font="Wingdings" w:char="00FE"/>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安全帽</w:t>
            </w:r>
            <w:r>
              <w:rPr>
                <w:rFonts w:ascii="Wingdings" w:hAnsi="Wingdings"/>
                <w:color w:val="000000"/>
              </w:rPr>
              <w:sym w:font="Wingdings" w:char="00FE"/>
            </w:r>
            <w:r>
              <w:rPr>
                <w:rFonts w:hint="eastAsia"/>
                <w:color w:val="000000"/>
                <w:szCs w:val="21"/>
              </w:rPr>
              <w:t>护目镜</w:t>
            </w:r>
            <w:r>
              <w:rPr>
                <w:rFonts w:ascii="Wingdings" w:hAnsi="Wingdings"/>
                <w:color w:val="000000"/>
              </w:rPr>
              <w:sym w:font="Wingdings" w:char="00FE"/>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sym w:font="Wingdings" w:char="00FE"/>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 xml:space="preserve">绝缘手套 </w:t>
            </w:r>
            <w:r>
              <w:rPr>
                <w:rFonts w:ascii="Wingdings" w:hAnsi="Wingdings"/>
                <w:color w:val="000000"/>
              </w:rPr>
              <w:t>¨</w:t>
            </w:r>
            <w:r>
              <w:rPr>
                <w:rFonts w:hint="eastAsia"/>
                <w:color w:val="000000"/>
                <w:szCs w:val="21"/>
              </w:rPr>
              <w:t xml:space="preserve">防砸鞋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sym w:font="Wingdings" w:char="00FE"/>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sym w:font="Wingdings" w:char="00FE"/>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□交通食宿  </w:t>
            </w:r>
            <w:r>
              <w:rPr>
                <w:rFonts w:hint="eastAsia"/>
                <w:color w:val="000000"/>
                <w:sz w:val="21"/>
                <w:szCs w:val="21"/>
              </w:rPr>
              <w:sym w:font="Wingdings 2" w:char="00A3"/>
            </w:r>
            <w:r>
              <w:rPr>
                <w:rFonts w:hint="eastAsia"/>
                <w:color w:val="000000"/>
                <w:sz w:val="21"/>
                <w:szCs w:val="21"/>
              </w:rPr>
              <w:t xml:space="preserve">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审核组成员的可接受性  □一阶段的问题已整改</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1AA67C9"/>
    <w:rsid w:val="04E46248"/>
    <w:rsid w:val="0DAB58C8"/>
    <w:rsid w:val="18483893"/>
    <w:rsid w:val="247845B6"/>
    <w:rsid w:val="2CB443EF"/>
    <w:rsid w:val="2CF9108B"/>
    <w:rsid w:val="3B6444BC"/>
    <w:rsid w:val="4414531D"/>
    <w:rsid w:val="50696BE9"/>
    <w:rsid w:val="560A3631"/>
    <w:rsid w:val="63041BFB"/>
    <w:rsid w:val="661111DF"/>
    <w:rsid w:val="67D652A3"/>
    <w:rsid w:val="795804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12</TotalTime>
  <ScaleCrop>false</ScaleCrop>
  <LinksUpToDate>false</LinksUpToDate>
  <CharactersWithSpaces>13072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2022-02-17T08:38:32Z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2052-11.1.0.11294</vt:lpwstr>
  </property>
</Properties>
</file>