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155"/>
        <w:gridCol w:w="10004"/>
        <w:gridCol w:w="1585"/>
      </w:tblGrid>
      <w:tr w:rsidR="00846EFB">
        <w:trPr>
          <w:trHeight w:val="515"/>
        </w:trPr>
        <w:tc>
          <w:tcPr>
            <w:tcW w:w="1965" w:type="dxa"/>
            <w:vMerge w:val="restart"/>
            <w:vAlign w:val="center"/>
          </w:tcPr>
          <w:p w:rsidR="00846EFB" w:rsidRDefault="00E7712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6EFB" w:rsidRDefault="00E7712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46EFB" w:rsidRDefault="00E7712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46EFB" w:rsidRDefault="00284BEB" w:rsidP="001B2A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BF378B">
              <w:rPr>
                <w:rFonts w:hint="eastAsia"/>
                <w:sz w:val="24"/>
                <w:szCs w:val="24"/>
              </w:rPr>
              <w:t>财务部</w:t>
            </w:r>
            <w:r w:rsidR="00E77122"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E7712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77122"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BF378B">
              <w:rPr>
                <w:rFonts w:eastAsiaTheme="minorEastAsia" w:hAnsiTheme="minorEastAsia" w:hint="eastAsia"/>
                <w:sz w:val="24"/>
                <w:szCs w:val="24"/>
              </w:rPr>
              <w:t>罗超</w:t>
            </w:r>
            <w:r w:rsidR="00BF378B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3B0C0F">
              <w:rPr>
                <w:rFonts w:eastAsiaTheme="minorEastAsia" w:hAnsiTheme="minorEastAsia" w:hint="eastAsia"/>
                <w:sz w:val="24"/>
                <w:szCs w:val="24"/>
              </w:rPr>
              <w:t>黄微</w:t>
            </w:r>
          </w:p>
        </w:tc>
        <w:tc>
          <w:tcPr>
            <w:tcW w:w="1585" w:type="dxa"/>
            <w:vMerge w:val="restart"/>
            <w:vAlign w:val="center"/>
          </w:tcPr>
          <w:p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 w:rsidTr="00BF378B">
        <w:trPr>
          <w:trHeight w:val="418"/>
        </w:trPr>
        <w:tc>
          <w:tcPr>
            <w:tcW w:w="1965" w:type="dxa"/>
            <w:vMerge/>
            <w:vAlign w:val="center"/>
          </w:tcPr>
          <w:p w:rsidR="00846EFB" w:rsidRDefault="00846EFB"/>
        </w:tc>
        <w:tc>
          <w:tcPr>
            <w:tcW w:w="1155" w:type="dxa"/>
            <w:vMerge/>
            <w:vAlign w:val="center"/>
          </w:tcPr>
          <w:p w:rsidR="00846EFB" w:rsidRDefault="00846EFB"/>
        </w:tc>
        <w:tc>
          <w:tcPr>
            <w:tcW w:w="10004" w:type="dxa"/>
            <w:vAlign w:val="center"/>
          </w:tcPr>
          <w:p w:rsidR="00846EFB" w:rsidRDefault="00E77122" w:rsidP="00BF378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 w:rsidR="005E0A27">
              <w:rPr>
                <w:rFonts w:hint="eastAsia"/>
                <w:sz w:val="24"/>
                <w:szCs w:val="24"/>
              </w:rPr>
              <w:t>、</w:t>
            </w:r>
            <w:r w:rsidR="003B0C0F" w:rsidRPr="003B0C0F">
              <w:rPr>
                <w:rFonts w:hint="eastAsia"/>
                <w:sz w:val="24"/>
                <w:szCs w:val="24"/>
              </w:rPr>
              <w:t>张莉</w:t>
            </w:r>
            <w:r w:rsidR="005E0A27">
              <w:rPr>
                <w:rFonts w:hint="eastAsia"/>
                <w:sz w:val="24"/>
                <w:szCs w:val="24"/>
              </w:rPr>
              <w:t>（</w:t>
            </w:r>
            <w:r w:rsidR="003B0C0F">
              <w:rPr>
                <w:rFonts w:hint="eastAsia"/>
                <w:sz w:val="24"/>
                <w:szCs w:val="24"/>
              </w:rPr>
              <w:t>专家</w:t>
            </w:r>
            <w:r w:rsidR="005E0A27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</w:t>
            </w:r>
            <w:r w:rsidR="00AF28AA">
              <w:rPr>
                <w:rFonts w:hint="eastAsia"/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3B0C0F">
              <w:rPr>
                <w:rFonts w:hint="eastAsia"/>
                <w:sz w:val="24"/>
                <w:szCs w:val="24"/>
              </w:rPr>
              <w:t>2</w:t>
            </w:r>
            <w:r w:rsidR="00BF378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846EFB" w:rsidRDefault="00846EFB"/>
        </w:tc>
      </w:tr>
      <w:tr w:rsidR="00846EFB">
        <w:trPr>
          <w:trHeight w:val="516"/>
        </w:trPr>
        <w:tc>
          <w:tcPr>
            <w:tcW w:w="1965" w:type="dxa"/>
            <w:vMerge/>
            <w:vAlign w:val="center"/>
          </w:tcPr>
          <w:p w:rsidR="00846EFB" w:rsidRDefault="00846EFB"/>
        </w:tc>
        <w:tc>
          <w:tcPr>
            <w:tcW w:w="1155" w:type="dxa"/>
            <w:vMerge/>
            <w:vAlign w:val="center"/>
          </w:tcPr>
          <w:p w:rsidR="00846EFB" w:rsidRDefault="00846EFB"/>
        </w:tc>
        <w:tc>
          <w:tcPr>
            <w:tcW w:w="10004" w:type="dxa"/>
            <w:vAlign w:val="center"/>
          </w:tcPr>
          <w:p w:rsidR="00846EFB" w:rsidRDefault="00E77122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BF378B" w:rsidRPr="00BF378B" w:rsidRDefault="00BF378B" w:rsidP="00BF378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 w:hint="eastAsia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</w:t>
            </w:r>
          </w:p>
          <w:p w:rsidR="00846EFB" w:rsidRPr="00DB6492" w:rsidRDefault="00BF378B" w:rsidP="00BF378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5.3组织的岗位、职责和权限、6.2环境/职业健康安全目标、6.1.2环境因素/危险源辨识与评价、8.1运行策划和控制、EMS/OHSMS运行控制相关财务支出证据</w:t>
            </w:r>
          </w:p>
        </w:tc>
        <w:tc>
          <w:tcPr>
            <w:tcW w:w="1585" w:type="dxa"/>
            <w:vMerge/>
          </w:tcPr>
          <w:p w:rsidR="00846EFB" w:rsidRDefault="00846EFB"/>
        </w:tc>
      </w:tr>
      <w:tr w:rsidR="00BF378B" w:rsidTr="00AB3354">
        <w:trPr>
          <w:trHeight w:val="1255"/>
        </w:trPr>
        <w:tc>
          <w:tcPr>
            <w:tcW w:w="1965" w:type="dxa"/>
            <w:vAlign w:val="center"/>
          </w:tcPr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155" w:type="dxa"/>
            <w:vAlign w:val="center"/>
          </w:tcPr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QEO5.3</w:t>
            </w:r>
          </w:p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部门负责人：罗超，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介绍说，部门主要</w:t>
            </w:r>
            <w:r w:rsidRPr="00BF378B">
              <w:rPr>
                <w:rFonts w:hAnsi="宋体" w:hint="eastAsia"/>
                <w:szCs w:val="21"/>
              </w:rPr>
              <w:t>负责数据分析、财务管理工作，组织编制财务管理制度；制定财务预算，进行帐务处理和财务决算，组织编制会计报表及成本分析，财务分析报告；负责资金筹措与调度、资金结算、成本核算；组织制定财务预算，进行帐务处理和财务决算，组织编制会计报表及成本分析，财务分析报告；组织工资核算，审核发放清单。</w:t>
            </w:r>
          </w:p>
          <w:p w:rsid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  <w:sz w:val="24"/>
                <w:szCs w:val="24"/>
              </w:rPr>
            </w:pPr>
            <w:r w:rsidRPr="00BF378B">
              <w:rPr>
                <w:rFonts w:hAnsi="宋体" w:hint="eastAsia"/>
                <w:szCs w:val="21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:rsidR="00BF378B" w:rsidRPr="00D535AA" w:rsidRDefault="00BF378B" w:rsidP="001472E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BF378B" w:rsidTr="00816492">
        <w:trPr>
          <w:trHeight w:val="1255"/>
        </w:trPr>
        <w:tc>
          <w:tcPr>
            <w:tcW w:w="1965" w:type="dxa"/>
            <w:vAlign w:val="center"/>
          </w:tcPr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155" w:type="dxa"/>
            <w:vAlign w:val="center"/>
          </w:tcPr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QEO6.2</w:t>
            </w:r>
          </w:p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  <w:p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F378B" w:rsidRPr="00577D21" w:rsidRDefault="00BF378B" w:rsidP="00BF378B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BF378B" w:rsidRDefault="00BF378B" w:rsidP="00BF378B">
            <w:pPr>
              <w:spacing w:beforeLines="30" w:afterLines="3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财务部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 xml:space="preserve">主要目标    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 w:rsidRPr="00BF378B">
              <w:rPr>
                <w:rFonts w:hAnsi="宋体"/>
                <w:szCs w:val="21"/>
              </w:rPr>
              <w:t>1</w:t>
            </w:r>
            <w:r w:rsidRPr="00BF378B">
              <w:rPr>
                <w:rFonts w:hAnsi="宋体"/>
                <w:szCs w:val="21"/>
              </w:rPr>
              <w:t>、</w:t>
            </w:r>
            <w:r w:rsidRPr="00BF378B">
              <w:rPr>
                <w:rFonts w:hAnsi="宋体" w:hint="eastAsia"/>
                <w:szCs w:val="21"/>
              </w:rPr>
              <w:t>固体废弃物分类处置率</w:t>
            </w:r>
            <w:r w:rsidRPr="00BF378B">
              <w:rPr>
                <w:rFonts w:hAnsi="宋体" w:hint="eastAsia"/>
                <w:szCs w:val="21"/>
              </w:rPr>
              <w:t>100%</w:t>
            </w:r>
            <w:r w:rsidRPr="00BF378B">
              <w:rPr>
                <w:rFonts w:hAnsi="宋体" w:hint="eastAsia"/>
                <w:szCs w:val="21"/>
              </w:rPr>
              <w:t>；</w:t>
            </w:r>
            <w:r w:rsidRPr="00BF378B">
              <w:rPr>
                <w:rFonts w:hAnsi="宋体"/>
                <w:szCs w:val="21"/>
              </w:rPr>
              <w:t xml:space="preserve">   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 w:rsidRPr="00BF378B">
              <w:rPr>
                <w:rFonts w:hAnsi="宋体"/>
                <w:szCs w:val="21"/>
              </w:rPr>
              <w:t>2</w:t>
            </w:r>
            <w:r w:rsidRPr="00BF378B">
              <w:rPr>
                <w:rFonts w:hAnsi="宋体"/>
                <w:szCs w:val="21"/>
              </w:rPr>
              <w:t>、</w:t>
            </w:r>
            <w:r w:rsidRPr="00BF378B">
              <w:rPr>
                <w:rFonts w:hAnsi="宋体" w:hint="eastAsia"/>
                <w:szCs w:val="21"/>
              </w:rPr>
              <w:t>火灾、触电、交通安全事故为</w:t>
            </w:r>
            <w:r w:rsidRPr="00BF378B">
              <w:rPr>
                <w:rFonts w:hAnsi="宋体" w:hint="eastAsia"/>
                <w:szCs w:val="21"/>
              </w:rPr>
              <w:t>0</w:t>
            </w:r>
            <w:r w:rsidRPr="00BF378B">
              <w:rPr>
                <w:rFonts w:hAnsi="宋体" w:hint="eastAsia"/>
                <w:szCs w:val="21"/>
              </w:rPr>
              <w:t>；</w:t>
            </w:r>
            <w:r w:rsidRPr="00BF378B">
              <w:rPr>
                <w:rFonts w:hAnsi="宋体" w:hint="eastAsia"/>
                <w:szCs w:val="21"/>
              </w:rPr>
              <w:t xml:space="preserve"> 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 w:rsidRPr="00BF378B">
              <w:rPr>
                <w:rFonts w:hAnsi="宋体" w:hint="eastAsia"/>
                <w:szCs w:val="21"/>
              </w:rPr>
              <w:t>3</w:t>
            </w:r>
            <w:r w:rsidRPr="00BF378B">
              <w:rPr>
                <w:rFonts w:hAnsi="宋体" w:hint="eastAsia"/>
                <w:szCs w:val="21"/>
              </w:rPr>
              <w:t>、环保、安全资金提供及时率</w:t>
            </w:r>
            <w:r w:rsidRPr="00BF378B">
              <w:rPr>
                <w:rFonts w:hAnsi="宋体" w:hint="eastAsia"/>
                <w:szCs w:val="21"/>
              </w:rPr>
              <w:t xml:space="preserve">100% </w:t>
            </w:r>
          </w:p>
          <w:p w:rsidR="00BF378B" w:rsidRPr="00104895" w:rsidRDefault="00BF378B" w:rsidP="00BF378B">
            <w:pPr>
              <w:spacing w:beforeLines="30" w:afterLines="3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04895">
              <w:rPr>
                <w:rFonts w:ascii="宋体" w:hAnsi="宋体" w:cs="Arial" w:hint="eastAsia"/>
                <w:spacing w:val="-6"/>
                <w:szCs w:val="21"/>
              </w:rPr>
              <w:t>查见目标指标管理方案，见对重要环境因素和不可接受风险建立了管理方案，明确了控制措施、责任部门、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lastRenderedPageBreak/>
              <w:t>责任人；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hAnsi="宋体"/>
                <w:szCs w:val="21"/>
              </w:rPr>
            </w:pPr>
            <w:r w:rsidRPr="00104895">
              <w:rPr>
                <w:rFonts w:ascii="宋体" w:hAnsi="宋体" w:cs="Arial" w:hint="eastAsia"/>
                <w:spacing w:val="-6"/>
                <w:szCs w:val="21"/>
              </w:rPr>
              <w:t>2021年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4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月-20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21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12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月，考核目标均已全部完成。</w:t>
            </w:r>
          </w:p>
        </w:tc>
        <w:tc>
          <w:tcPr>
            <w:tcW w:w="1585" w:type="dxa"/>
          </w:tcPr>
          <w:p w:rsidR="00BF378B" w:rsidRPr="00BD230D" w:rsidRDefault="00BF378B" w:rsidP="0014357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符合</w:t>
            </w:r>
          </w:p>
          <w:p w:rsidR="00BF378B" w:rsidRPr="00BD230D" w:rsidRDefault="00BF378B" w:rsidP="00143576">
            <w:pPr>
              <w:pStyle w:val="2"/>
              <w:rPr>
                <w:b w:val="0"/>
                <w:bCs w:val="0"/>
                <w:sz w:val="21"/>
                <w:szCs w:val="21"/>
              </w:rPr>
            </w:pPr>
          </w:p>
          <w:p w:rsidR="00BF378B" w:rsidRPr="00BD230D" w:rsidRDefault="00BF378B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BF378B" w:rsidRPr="00BD230D" w:rsidRDefault="00BF378B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BF378B" w:rsidRPr="00BD230D" w:rsidRDefault="00BF378B" w:rsidP="00C238C8">
            <w:pPr>
              <w:rPr>
                <w:szCs w:val="21"/>
              </w:rPr>
            </w:pPr>
          </w:p>
        </w:tc>
      </w:tr>
      <w:tr w:rsidR="00BF378B" w:rsidTr="00FF7D7C">
        <w:trPr>
          <w:trHeight w:val="689"/>
        </w:trPr>
        <w:tc>
          <w:tcPr>
            <w:tcW w:w="1965" w:type="dxa"/>
            <w:vAlign w:val="center"/>
          </w:tcPr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55" w:type="dxa"/>
          </w:tcPr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</w:p>
          <w:p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O6.1.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</w:p>
        </w:tc>
        <w:tc>
          <w:tcPr>
            <w:tcW w:w="10004" w:type="dxa"/>
          </w:tcPr>
          <w:p w:rsid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hAnsiTheme="minorEastAsia" w:hint="eastAsia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公司有</w:t>
            </w:r>
            <w:r w:rsidRPr="00DB6492">
              <w:rPr>
                <w:rFonts w:hAnsiTheme="minorEastAsia"/>
              </w:rPr>
              <w:t>环境因素和危险源识别评价与控制程序，</w:t>
            </w:r>
            <w:r>
              <w:rPr>
                <w:rFonts w:hAnsiTheme="minorEastAsia"/>
              </w:rPr>
              <w:t>有效文件。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等，在环境评价过程中考虑到环境影响、三种时态和三种状态等。使用分级评分的方式。基本合理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查到《重要环境因素清单》已识别重要环境因素包括：潜在火灾、固废排放等，明确控制措施和责任部门，基本合理。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查“危险源辨识、风险评价和控制措施的确定表”，识别了办公过程中的危险源。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涉及财务部的危险源有插座质量差，漏电、计算机不间断电源操作不当造成的触电，接线板负荷过重造成的火灾、烟头未及时熄灭或直接扔到纸篓中引起的火灾、外来车辆进入停车场车辆伤害等，对识别出的危险源采取D=LEC进行评价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查《不可接受风险清单》，评价本部门的有3个不可接受风险，包括：触电、火灾的发生、交通意外事故等。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主要控制措施：应急预案、配备消防器材、日常检查、培训教育等运行控制措施等。</w:t>
            </w:r>
          </w:p>
          <w:p w:rsid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eastAsiaTheme="minorEastAsia"/>
                <w:sz w:val="24"/>
                <w:szCs w:val="24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BF378B" w:rsidRDefault="00BF378B" w:rsidP="001472E8">
            <w:r>
              <w:t>符合</w:t>
            </w:r>
          </w:p>
        </w:tc>
      </w:tr>
      <w:tr w:rsidR="00BF378B" w:rsidTr="00F97A82">
        <w:trPr>
          <w:trHeight w:val="689"/>
        </w:trPr>
        <w:tc>
          <w:tcPr>
            <w:tcW w:w="1965" w:type="dxa"/>
            <w:vAlign w:val="center"/>
          </w:tcPr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运行控制</w:t>
            </w: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BF378B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BF378B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BF378B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F378B" w:rsidRDefault="00BF378B" w:rsidP="0014357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F378B" w:rsidRDefault="00BF378B" w:rsidP="0014357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EO8.1</w:t>
            </w:r>
          </w:p>
        </w:tc>
        <w:tc>
          <w:tcPr>
            <w:tcW w:w="10004" w:type="dxa"/>
            <w:vAlign w:val="center"/>
          </w:tcPr>
          <w:p w:rsidR="00BF378B" w:rsidRDefault="001247CE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制订有</w:t>
            </w:r>
            <w:r w:rsidR="00BF378B" w:rsidRPr="00BF378B">
              <w:rPr>
                <w:rFonts w:ascii="宋体" w:hAnsi="宋体" w:cs="Arial" w:hint="eastAsia"/>
                <w:spacing w:val="-6"/>
                <w:szCs w:val="21"/>
              </w:rPr>
              <w:t>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:rsidR="001247CE" w:rsidRPr="001247CE" w:rsidRDefault="001247CE" w:rsidP="001247CE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（1）废水管控：</w:t>
            </w:r>
          </w:p>
          <w:p w:rsidR="001247CE" w:rsidRPr="001247CE" w:rsidRDefault="001247CE" w:rsidP="001247CE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财务办公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过程中不产生废水，生活废水排入办公大楼管网集中处理。</w:t>
            </w:r>
          </w:p>
          <w:p w:rsidR="001247CE" w:rsidRPr="001247CE" w:rsidRDefault="001247CE" w:rsidP="001247CE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lastRenderedPageBreak/>
              <w:t>（2）废气管控：</w:t>
            </w:r>
          </w:p>
          <w:p w:rsidR="001247CE" w:rsidRPr="001247CE" w:rsidRDefault="001247CE" w:rsidP="001247CE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无。</w:t>
            </w:r>
          </w:p>
          <w:p w:rsidR="001247CE" w:rsidRPr="001247CE" w:rsidRDefault="001247CE" w:rsidP="001247CE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（3）噪声管控：</w:t>
            </w:r>
          </w:p>
          <w:p w:rsidR="001247CE" w:rsidRPr="001247CE" w:rsidRDefault="001247CE" w:rsidP="001247CE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办公过程基本无噪声。</w:t>
            </w:r>
          </w:p>
          <w:p w:rsidR="001247CE" w:rsidRPr="001247CE" w:rsidRDefault="001247CE" w:rsidP="001247CE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（4）固废管控：</w:t>
            </w:r>
          </w:p>
          <w:p w:rsidR="001247CE" w:rsidRPr="001247CE" w:rsidRDefault="001247CE" w:rsidP="001247CE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主要是办公固废的排放。财务部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将墨盒硒鼓等办公危废交行政部统一处理一般是交供应商回收，其他固废及生活垃圾放在门口垃圾桶由大楼物业部门统一处理。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参加环保和安全知识培训，部门员工具备了基本的环保和职业健康安全防护意识。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按公司要求人走关灯，电脑要求人走后电源切断。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办公室内主要是电的使用，电器有漏电保护器，经常对电路、电源进行检查，没有露电现象发生。</w:t>
            </w:r>
          </w:p>
          <w:p w:rsid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财务部垃圾主要包含可回收垃圾、硒鼓、废纸。公司配置了垃圾箱，行政部统一处理。</w:t>
            </w:r>
          </w:p>
          <w:p w:rsidR="001247CE" w:rsidRPr="00F77A2C" w:rsidRDefault="001247CE" w:rsidP="001247CE">
            <w:pPr>
              <w:spacing w:line="360" w:lineRule="auto"/>
              <w:ind w:rightChars="-3" w:right="-6" w:firstLineChars="200" w:firstLine="420"/>
              <w:rPr>
                <w:rFonts w:hAnsi="宋体"/>
                <w:szCs w:val="21"/>
              </w:rPr>
            </w:pPr>
            <w:r w:rsidRPr="00F77A2C">
              <w:rPr>
                <w:rFonts w:hAnsi="宋体" w:hint="eastAsia"/>
                <w:szCs w:val="21"/>
              </w:rPr>
              <w:t>工作场所</w:t>
            </w:r>
            <w:r>
              <w:rPr>
                <w:rFonts w:hAnsi="宋体" w:hint="eastAsia"/>
                <w:szCs w:val="21"/>
              </w:rPr>
              <w:t>布局合理，员工有自我防护意识，工间能适当走动、休息；各技术咨询</w:t>
            </w:r>
            <w:r w:rsidRPr="00F77A2C">
              <w:rPr>
                <w:rFonts w:hAnsi="宋体" w:hint="eastAsia"/>
                <w:szCs w:val="21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1247CE" w:rsidRDefault="001247CE" w:rsidP="001247CE">
            <w:pPr>
              <w:spacing w:line="360" w:lineRule="auto"/>
              <w:ind w:rightChars="-3" w:right="-6" w:firstLineChars="200" w:firstLine="420"/>
              <w:rPr>
                <w:rFonts w:hAnsi="宋体" w:hint="eastAsia"/>
                <w:szCs w:val="21"/>
              </w:rPr>
            </w:pPr>
            <w:r w:rsidRPr="00F77A2C">
              <w:rPr>
                <w:rFonts w:hAnsi="宋体" w:hint="eastAsia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:rsidR="001247CE" w:rsidRPr="007B283B" w:rsidRDefault="001247CE" w:rsidP="001247CE">
            <w:pPr>
              <w:spacing w:line="360" w:lineRule="auto"/>
              <w:ind w:rightChars="-3" w:right="-6" w:firstLineChars="200" w:firstLine="420"/>
              <w:rPr>
                <w:rFonts w:hAnsi="宋体"/>
                <w:szCs w:val="21"/>
              </w:rPr>
            </w:pPr>
            <w:r w:rsidRPr="007B283B">
              <w:rPr>
                <w:rFonts w:hAnsi="宋体" w:hint="eastAsia"/>
                <w:szCs w:val="21"/>
              </w:rPr>
              <w:t>现场有分类存放的垃圾桶。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办公纸张尽量采取双面打印，定期检查水管跑冒滴漏。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经了解现场办公区域配备了灭火器等消防设施，状况正常。</w:t>
            </w:r>
          </w:p>
          <w:p w:rsidR="00BF378B" w:rsidRPr="00BF378B" w:rsidRDefault="00BF378B" w:rsidP="00BF378B">
            <w:pPr>
              <w:tabs>
                <w:tab w:val="left" w:pos="6597"/>
              </w:tabs>
              <w:spacing w:beforeLines="20" w:afterLines="20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lastRenderedPageBreak/>
              <w:t>抽查202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4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-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2022年2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月环境安全运行检查记录，检查结果均正常，检查人：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黄微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BF378B" w:rsidRPr="001247CE" w:rsidRDefault="00BF378B" w:rsidP="001247C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提供202</w:t>
            </w:r>
            <w:r w:rsidR="001247CE" w:rsidRPr="001247CE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年至今安环费用统计表，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总计42万余元，主要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包括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水电费</w:t>
            </w:r>
            <w:r w:rsidR="001247CE">
              <w:rPr>
                <w:rFonts w:ascii="宋体" w:hAnsi="宋体"/>
                <w:szCs w:val="22"/>
              </w:rPr>
              <w:t>17782.87元、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员工五险一金</w:t>
            </w:r>
            <w:r w:rsidR="001247CE" w:rsidRPr="001247CE">
              <w:rPr>
                <w:rFonts w:ascii="宋体" w:hAnsi="宋体" w:cs="Arial"/>
                <w:spacing w:val="-6"/>
                <w:szCs w:val="21"/>
              </w:rPr>
              <w:t>295285.29</w:t>
            </w:r>
            <w:r w:rsidRPr="001247CE">
              <w:rPr>
                <w:rFonts w:ascii="宋体" w:hAnsi="宋体" w:cs="Arial"/>
                <w:spacing w:val="-6"/>
                <w:szCs w:val="21"/>
              </w:rPr>
              <w:t>4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元、职工福利</w:t>
            </w:r>
            <w:r w:rsidR="001247CE">
              <w:rPr>
                <w:rFonts w:ascii="宋体" w:hAnsi="宋体"/>
                <w:szCs w:val="22"/>
              </w:rPr>
              <w:t>89520.31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元、员工体检</w:t>
            </w:r>
            <w:r w:rsidR="001247CE" w:rsidRPr="001247CE">
              <w:rPr>
                <w:rFonts w:ascii="宋体" w:hAnsi="宋体" w:cs="Arial"/>
                <w:spacing w:val="-6"/>
                <w:szCs w:val="21"/>
              </w:rPr>
              <w:t>24500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元、消防设施1000元等。</w:t>
            </w:r>
          </w:p>
          <w:p w:rsidR="00BF378B" w:rsidRPr="001247CE" w:rsidRDefault="00BF378B" w:rsidP="001247C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抽查2021.1.</w:t>
            </w:r>
            <w:r w:rsidRPr="001247CE">
              <w:rPr>
                <w:rFonts w:ascii="宋体" w:hAnsi="宋体" w:cs="Arial"/>
                <w:spacing w:val="-6"/>
                <w:szCs w:val="21"/>
              </w:rPr>
              <w:t>—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2021.12月社保缴费证明</w:t>
            </w:r>
          </w:p>
          <w:p w:rsidR="00BF378B" w:rsidRPr="001247CE" w:rsidRDefault="00BF378B" w:rsidP="001247CE">
            <w:pPr>
              <w:spacing w:line="360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247CE">
              <w:rPr>
                <w:rFonts w:ascii="宋体" w:hAnsi="宋体" w:cs="Arial"/>
                <w:spacing w:val="-6"/>
                <w:szCs w:val="21"/>
              </w:rPr>
              <w:t xml:space="preserve"> </w:t>
            </w:r>
            <w:r w:rsidRPr="001247CE">
              <w:rPr>
                <w:rFonts w:ascii="宋体" w:hAnsi="宋体" w:cs="Arial"/>
                <w:spacing w:val="-6"/>
                <w:szCs w:val="21"/>
              </w:rPr>
              <w:drawing>
                <wp:inline distT="0" distB="0" distL="0" distR="0">
                  <wp:extent cx="4210050" cy="376133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376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7CE" w:rsidRPr="001247CE" w:rsidRDefault="001247CE" w:rsidP="001247CE">
            <w:pPr>
              <w:spacing w:line="360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</w:p>
          <w:p w:rsidR="001247CE" w:rsidRPr="001247CE" w:rsidRDefault="001247CE" w:rsidP="001247CE">
            <w:pPr>
              <w:spacing w:line="360" w:lineRule="auto"/>
              <w:ind w:firstLineChars="200"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部门运行控制基本符合策划要求。</w:t>
            </w:r>
          </w:p>
        </w:tc>
        <w:tc>
          <w:tcPr>
            <w:tcW w:w="1585" w:type="dxa"/>
          </w:tcPr>
          <w:p w:rsidR="00BF378B" w:rsidRDefault="00BF378B" w:rsidP="001472E8"/>
        </w:tc>
      </w:tr>
    </w:tbl>
    <w:p w:rsidR="00846EFB" w:rsidRDefault="00E77122">
      <w:r>
        <w:lastRenderedPageBreak/>
        <w:ptab w:relativeTo="margin" w:alignment="center" w:leader="none"/>
      </w:r>
    </w:p>
    <w:p w:rsidR="00846EFB" w:rsidRDefault="00846EFB"/>
    <w:p w:rsidR="00846EFB" w:rsidRDefault="00E7712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3B" w:rsidRDefault="00C3093B" w:rsidP="00846EFB">
      <w:r>
        <w:separator/>
      </w:r>
    </w:p>
  </w:endnote>
  <w:endnote w:type="continuationSeparator" w:id="1">
    <w:p w:rsidR="00C3093B" w:rsidRDefault="00C3093B" w:rsidP="0084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D7578" w:rsidRDefault="00A557C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D757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47C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D757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D757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47C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7578" w:rsidRDefault="00AD75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3B" w:rsidRDefault="00C3093B" w:rsidP="00846EFB">
      <w:r>
        <w:separator/>
      </w:r>
    </w:p>
  </w:footnote>
  <w:footnote w:type="continuationSeparator" w:id="1">
    <w:p w:rsidR="00C3093B" w:rsidRDefault="00C3093B" w:rsidP="0084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78" w:rsidRDefault="00AD7578" w:rsidP="009A63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7C8" w:rsidRPr="00A557C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AD7578" w:rsidRDefault="00AD7578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D7578" w:rsidRDefault="00AD7578" w:rsidP="009A632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D1C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>
    <w:nsid w:val="6F013E40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B"/>
    <w:rsid w:val="000709BA"/>
    <w:rsid w:val="00077353"/>
    <w:rsid w:val="000B6900"/>
    <w:rsid w:val="000B7570"/>
    <w:rsid w:val="000E4641"/>
    <w:rsid w:val="000F3947"/>
    <w:rsid w:val="001041EC"/>
    <w:rsid w:val="00104895"/>
    <w:rsid w:val="00122D36"/>
    <w:rsid w:val="001247CE"/>
    <w:rsid w:val="00140501"/>
    <w:rsid w:val="001472E8"/>
    <w:rsid w:val="00156F4F"/>
    <w:rsid w:val="0018124E"/>
    <w:rsid w:val="001B2AFC"/>
    <w:rsid w:val="001B6FC5"/>
    <w:rsid w:val="001F5BDC"/>
    <w:rsid w:val="002105C7"/>
    <w:rsid w:val="00261683"/>
    <w:rsid w:val="00273C8F"/>
    <w:rsid w:val="00284BEB"/>
    <w:rsid w:val="002B325B"/>
    <w:rsid w:val="00300485"/>
    <w:rsid w:val="00304597"/>
    <w:rsid w:val="0030697C"/>
    <w:rsid w:val="003414D7"/>
    <w:rsid w:val="00343B3E"/>
    <w:rsid w:val="00376E04"/>
    <w:rsid w:val="00392AFE"/>
    <w:rsid w:val="003B0C0F"/>
    <w:rsid w:val="003F04D3"/>
    <w:rsid w:val="00431CFA"/>
    <w:rsid w:val="004342C8"/>
    <w:rsid w:val="004533EC"/>
    <w:rsid w:val="004C0D46"/>
    <w:rsid w:val="004D318B"/>
    <w:rsid w:val="004D5ED0"/>
    <w:rsid w:val="004F22A1"/>
    <w:rsid w:val="005078AE"/>
    <w:rsid w:val="00541267"/>
    <w:rsid w:val="0056608E"/>
    <w:rsid w:val="005774B7"/>
    <w:rsid w:val="00580F63"/>
    <w:rsid w:val="005C1BAA"/>
    <w:rsid w:val="005E0A27"/>
    <w:rsid w:val="005E2BC0"/>
    <w:rsid w:val="005F15C5"/>
    <w:rsid w:val="005F4010"/>
    <w:rsid w:val="006002D1"/>
    <w:rsid w:val="00606C16"/>
    <w:rsid w:val="0061430A"/>
    <w:rsid w:val="0063593D"/>
    <w:rsid w:val="00677088"/>
    <w:rsid w:val="006B66B6"/>
    <w:rsid w:val="006C2267"/>
    <w:rsid w:val="006C3D95"/>
    <w:rsid w:val="006D0EBC"/>
    <w:rsid w:val="006E52A4"/>
    <w:rsid w:val="006F720B"/>
    <w:rsid w:val="007125C7"/>
    <w:rsid w:val="00760A27"/>
    <w:rsid w:val="00793681"/>
    <w:rsid w:val="007939D8"/>
    <w:rsid w:val="007B3917"/>
    <w:rsid w:val="00813C69"/>
    <w:rsid w:val="00831A2E"/>
    <w:rsid w:val="0083600A"/>
    <w:rsid w:val="00846EFB"/>
    <w:rsid w:val="0085771C"/>
    <w:rsid w:val="008603B0"/>
    <w:rsid w:val="00863514"/>
    <w:rsid w:val="00867D1F"/>
    <w:rsid w:val="00875DAC"/>
    <w:rsid w:val="008760C7"/>
    <w:rsid w:val="00884D60"/>
    <w:rsid w:val="00887B2B"/>
    <w:rsid w:val="008A7176"/>
    <w:rsid w:val="00900F85"/>
    <w:rsid w:val="0091348B"/>
    <w:rsid w:val="0094058E"/>
    <w:rsid w:val="00944682"/>
    <w:rsid w:val="00976841"/>
    <w:rsid w:val="009807E1"/>
    <w:rsid w:val="009A1AD5"/>
    <w:rsid w:val="009A6320"/>
    <w:rsid w:val="009D74EE"/>
    <w:rsid w:val="00A1305A"/>
    <w:rsid w:val="00A20265"/>
    <w:rsid w:val="00A22B36"/>
    <w:rsid w:val="00A417BE"/>
    <w:rsid w:val="00A557C8"/>
    <w:rsid w:val="00A96078"/>
    <w:rsid w:val="00AD271F"/>
    <w:rsid w:val="00AD7578"/>
    <w:rsid w:val="00AF017A"/>
    <w:rsid w:val="00AF03EC"/>
    <w:rsid w:val="00AF28AA"/>
    <w:rsid w:val="00B072E4"/>
    <w:rsid w:val="00B313F6"/>
    <w:rsid w:val="00B331F1"/>
    <w:rsid w:val="00B67890"/>
    <w:rsid w:val="00B76376"/>
    <w:rsid w:val="00B92F01"/>
    <w:rsid w:val="00B97C20"/>
    <w:rsid w:val="00BB47F0"/>
    <w:rsid w:val="00BB7065"/>
    <w:rsid w:val="00BD4F7A"/>
    <w:rsid w:val="00BD688E"/>
    <w:rsid w:val="00BF378B"/>
    <w:rsid w:val="00C238C8"/>
    <w:rsid w:val="00C3093B"/>
    <w:rsid w:val="00C34C6E"/>
    <w:rsid w:val="00C67BF5"/>
    <w:rsid w:val="00CB6D44"/>
    <w:rsid w:val="00CC393B"/>
    <w:rsid w:val="00CE3B3A"/>
    <w:rsid w:val="00CF627D"/>
    <w:rsid w:val="00D30F0F"/>
    <w:rsid w:val="00D35823"/>
    <w:rsid w:val="00D559A6"/>
    <w:rsid w:val="00D7300F"/>
    <w:rsid w:val="00DB6492"/>
    <w:rsid w:val="00DB7D3B"/>
    <w:rsid w:val="00DC6F6D"/>
    <w:rsid w:val="00DC7471"/>
    <w:rsid w:val="00E03985"/>
    <w:rsid w:val="00E77122"/>
    <w:rsid w:val="00E86E3B"/>
    <w:rsid w:val="00EA2D7C"/>
    <w:rsid w:val="00EA4EE7"/>
    <w:rsid w:val="00EC4808"/>
    <w:rsid w:val="00ED10AA"/>
    <w:rsid w:val="00EE01AA"/>
    <w:rsid w:val="00F26436"/>
    <w:rsid w:val="00F726A3"/>
    <w:rsid w:val="00F76C63"/>
    <w:rsid w:val="00F77A2C"/>
    <w:rsid w:val="00F97E8A"/>
    <w:rsid w:val="00FA36D2"/>
    <w:rsid w:val="00FB041E"/>
    <w:rsid w:val="00FB2D00"/>
    <w:rsid w:val="00FB6FF9"/>
    <w:rsid w:val="00FC7E0A"/>
    <w:rsid w:val="00FD60B9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C238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iPriority w:val="99"/>
    <w:semiHidden/>
    <w:unhideWhenUsed/>
    <w:rsid w:val="003414D7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3414D7"/>
    <w:rPr>
      <w:rFonts w:ascii="Times New Roman" w:eastAsia="宋体" w:hAnsi="Times New Roman" w:cs="Times New Roman"/>
      <w:kern w:val="2"/>
      <w:sz w:val="21"/>
    </w:rPr>
  </w:style>
  <w:style w:type="paragraph" w:styleId="20">
    <w:name w:val="Body Text First Indent 2"/>
    <w:basedOn w:val="a6"/>
    <w:link w:val="2Char0"/>
    <w:uiPriority w:val="99"/>
    <w:qFormat/>
    <w:rsid w:val="003414D7"/>
    <w:pPr>
      <w:widowControl/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kern w:val="0"/>
      <w:sz w:val="28"/>
      <w:szCs w:val="24"/>
      <w:lang w:eastAsia="en-US" w:bidi="en-US"/>
    </w:rPr>
  </w:style>
  <w:style w:type="character" w:customStyle="1" w:styleId="2Char0">
    <w:name w:val="正文首行缩进 2 Char"/>
    <w:basedOn w:val="Char2"/>
    <w:link w:val="20"/>
    <w:uiPriority w:val="99"/>
    <w:qFormat/>
    <w:rsid w:val="003414D7"/>
    <w:rPr>
      <w:rFonts w:ascii="宋体" w:eastAsia="仿宋_GB2312" w:hAnsi="宋体"/>
      <w:color w:val="000000"/>
      <w:sz w:val="28"/>
      <w:szCs w:val="24"/>
      <w:lang w:eastAsia="en-US" w:bidi="en-US"/>
    </w:rPr>
  </w:style>
  <w:style w:type="character" w:customStyle="1" w:styleId="2Char">
    <w:name w:val="标题 2 Char"/>
    <w:basedOn w:val="a0"/>
    <w:link w:val="2"/>
    <w:rsid w:val="00C238C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C238C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5</Pages>
  <Words>313</Words>
  <Characters>1789</Characters>
  <Application>Microsoft Office Word</Application>
  <DocSecurity>0</DocSecurity>
  <Lines>14</Lines>
  <Paragraphs>4</Paragraphs>
  <ScaleCrop>false</ScaleCrop>
  <Company>china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65</cp:revision>
  <dcterms:created xsi:type="dcterms:W3CDTF">2015-06-17T12:51:00Z</dcterms:created>
  <dcterms:modified xsi:type="dcterms:W3CDTF">2022-03-26T15:48:00Z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