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0019-2020-2022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盘锦辽河胜利电泵有限公司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9779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9030022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U=5μmK=2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电动型光栅式指示表检定仪MPEV:6μm/5mm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96822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U=2μmK=2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耐震压力表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0042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（0-25）MPa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螺纹塞规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LS-03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 19/32-14-2B 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U=4μmK=2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测长机MPE:±（0.5+L/200）μm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三针U=0.4μmK=2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电磁流量计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0809101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MGG/C25041211EAB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l=1.4%K=2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超声波流量计1.0级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河北乾冀检测技术服务有限公司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2021.12.28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河北乾冀检测技术服务有限公司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辽宁众呈检测有限公司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15620" cy="243205"/>
                  <wp:effectExtent l="0" t="0" r="5080" b="1079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47700" cy="260350"/>
                  <wp:effectExtent l="0" t="0" r="0" b="6350"/>
                  <wp:docPr id="31" name="图片 31" descr="ab912cfe938f75d8ee9fb37410a98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ab912cfe938f75d8ee9fb37410a98f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4158" t="60061" r="60793" b="32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FC2B0B"/>
    <w:rsid w:val="27184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2022-01-27T02:24:42Z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66BCED17158343728885C1193025697A</vt:lpwstr>
  </property>
</Properties>
</file>