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运城鑫工科技有限公司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0173-2018-2022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0173-2018-2022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运城鑫工科技有限公司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樊永博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ISC-2018-0369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2024-01-08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hint="eastAsia" w:cs="宋体" w:asciiTheme="minorEastAsia" w:hAnsiTheme="minorEastAsia"/>
                <w:kern w:val="0"/>
                <w:szCs w:val="21"/>
                <w:lang w:val="en-US" w:eastAsia="zh-CN"/>
              </w:rPr>
              <w:t>第</w:t>
            </w:r>
            <w:bookmarkEnd w:id="8"/>
            <w:r>
              <w:rPr>
                <w:rFonts w:hint="eastAsia" w:cs="宋体" w:asciiTheme="minorEastAsia" w:hAnsiTheme="minorEastAsia"/>
                <w:kern w:val="0"/>
                <w:szCs w:val="21"/>
                <w:lang w:val="en-US" w:eastAsia="zh-CN"/>
              </w:rPr>
              <w:t>三监督审核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2022年01月24日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Times New Roman" w:hAnsi="Times New Roman" w:eastAsia="宋体" w:cs="Times New Roman"/>
                <w:color w:val="000000"/>
                <w:szCs w:val="21"/>
                <w:lang w:val="en-US" w:eastAsia="zh-CN"/>
              </w:rPr>
              <w:t xml:space="preserve">李俐 </w:t>
            </w:r>
            <w:r>
              <w:rPr>
                <w:rFonts w:ascii="Times New Roman" w:hAnsi="Times New Roman"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szCs w:val="21"/>
              </w:rPr>
              <w:t>综合科</w:t>
            </w:r>
            <w:r>
              <w:rPr>
                <w:rFonts w:hint="eastAsia" w:ascii="宋体" w:hAnsi="宋体" w:cs="宋体"/>
                <w:szCs w:val="21"/>
                <w:lang w:val="en-US" w:eastAsia="zh-CN"/>
              </w:rPr>
              <w:t>、</w:t>
            </w:r>
            <w:r>
              <w:rPr>
                <w:rFonts w:hint="eastAsia" w:ascii="宋体" w:hAnsi="宋体" w:cs="宋体"/>
                <w:szCs w:val="21"/>
              </w:rPr>
              <w:t>检验科</w:t>
            </w:r>
            <w:r>
              <w:rPr>
                <w:rFonts w:hint="eastAsia" w:ascii="宋体" w:hAnsi="宋体" w:cs="宋体"/>
                <w:szCs w:val="21"/>
                <w:lang w:eastAsia="zh-CN"/>
              </w:rPr>
              <w:t>、</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科</w:t>
            </w:r>
            <w:r>
              <w:rPr>
                <w:rFonts w:hint="eastAsia" w:ascii="宋体" w:hAnsi="宋体" w:cs="宋体"/>
                <w:szCs w:val="21"/>
                <w:lang w:val="en-US" w:eastAsia="zh-CN"/>
              </w:rPr>
              <w:t>及车间</w:t>
            </w:r>
          </w:p>
        </w:tc>
      </w:tr>
    </w:tbl>
    <w:p>
      <w:pPr>
        <w:widowControl/>
        <w:spacing w:line="48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二、</w:t>
      </w:r>
      <w:r>
        <w:rPr>
          <w:rFonts w:cs="宋体" w:asciiTheme="minorEastAsia" w:hAnsiTheme="minorEastAsia"/>
          <w:b/>
          <w:bCs/>
          <w:color w:val="000000" w:themeColor="text1"/>
          <w:kern w:val="0"/>
          <w:szCs w:val="21"/>
          <w14:textFill>
            <w14:solidFill>
              <w14:schemeClr w14:val="tx1"/>
            </w14:solidFill>
          </w14:textFill>
        </w:rPr>
        <w:t>监督审核</w:t>
      </w:r>
      <w:r>
        <w:rPr>
          <w:rFonts w:hint="eastAsia" w:cs="宋体" w:asciiTheme="minorEastAsia" w:hAnsiTheme="minorEastAsia"/>
          <w:b/>
          <w:bCs/>
          <w:color w:val="000000" w:themeColor="text1"/>
          <w:kern w:val="0"/>
          <w:szCs w:val="21"/>
          <w14:textFill>
            <w14:solidFill>
              <w14:schemeClr w14:val="tx1"/>
            </w14:solidFill>
          </w14:textFill>
        </w:rPr>
        <w:t>内容</w:t>
      </w:r>
      <w:r>
        <w:rPr>
          <w:rFonts w:hint="eastAsia" w:cs="宋体" w:asciiTheme="minorEastAsia" w:hAnsiTheme="minorEastAsia"/>
          <w:bCs/>
          <w:color w:val="000000" w:themeColor="text1"/>
          <w:kern w:val="0"/>
          <w:szCs w:val="21"/>
          <w14:textFill>
            <w14:solidFill>
              <w14:schemeClr w14:val="tx1"/>
            </w14:solidFill>
          </w14:textFill>
        </w:rPr>
        <w:t>：</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1.</w:t>
      </w:r>
      <w:r>
        <w:rPr>
          <w:rFonts w:cs="宋体" w:asciiTheme="minorEastAsia" w:hAnsiTheme="minorEastAsia"/>
          <w:bCs/>
          <w:color w:val="000000" w:themeColor="text1"/>
          <w:kern w:val="0"/>
          <w:szCs w:val="21"/>
          <w14:textFill>
            <w14:solidFill>
              <w14:schemeClr w14:val="tx1"/>
            </w14:solidFill>
          </w14:textFill>
        </w:rPr>
        <w:t>一年内违反法律法规</w:t>
      </w:r>
      <w:r>
        <w:rPr>
          <w:rFonts w:hint="eastAsia" w:cs="宋体" w:asciiTheme="minorEastAsia" w:hAnsiTheme="minorEastAsia"/>
          <w:bCs/>
          <w:color w:val="000000" w:themeColor="text1"/>
          <w:kern w:val="0"/>
          <w:szCs w:val="21"/>
          <w14:textFill>
            <w14:solidFill>
              <w14:schemeClr w14:val="tx1"/>
            </w14:solidFill>
          </w14:textFill>
        </w:rPr>
        <w:t>或</w:t>
      </w:r>
      <w:r>
        <w:rPr>
          <w:rFonts w:cs="宋体" w:asciiTheme="minorEastAsia" w:hAnsiTheme="minorEastAsia"/>
          <w:bCs/>
          <w:color w:val="000000" w:themeColor="text1"/>
          <w:kern w:val="0"/>
          <w:szCs w:val="21"/>
          <w14:textFill>
            <w14:solidFill>
              <w14:schemeClr w14:val="tx1"/>
            </w14:solidFill>
          </w14:textFill>
        </w:rPr>
        <w:t>重大事故的情况：</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3</w:t>
      </w:r>
      <w:r>
        <w:rPr>
          <w:rFonts w:hint="eastAsia" w:ascii="宋体" w:hAnsi="宋体" w:cs="宋体"/>
          <w:bCs/>
          <w:color w:val="000000" w:themeColor="text1"/>
          <w:kern w:val="0"/>
          <w:szCs w:val="21"/>
          <w14:textFill>
            <w14:solidFill>
              <w14:schemeClr w14:val="tx1"/>
            </w14:solidFill>
          </w14:textFill>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hint="eastAsia" w:asciiTheme="minorEastAsia" w:hAnsiTheme="minorEastAsia"/>
          <w:bCs/>
          <w:color w:val="000000" w:themeColor="text1"/>
          <w:szCs w:val="21"/>
          <w14:textFill>
            <w14:solidFill>
              <w14:schemeClr w14:val="tx1"/>
            </w14:solidFill>
          </w14:textFill>
        </w:rPr>
        <w:t>内部审核和管理评审</w:t>
      </w:r>
      <w:r>
        <w:rPr>
          <w:rFonts w:cs="宋体" w:asciiTheme="minorEastAsia" w:hAnsiTheme="minorEastAsia"/>
          <w:bCs/>
          <w:color w:val="000000" w:themeColor="text1"/>
          <w:kern w:val="0"/>
          <w:szCs w:val="21"/>
          <w14:textFill>
            <w14:solidFill>
              <w14:schemeClr w14:val="tx1"/>
            </w14:solidFill>
          </w14:textFill>
        </w:rPr>
        <w:t>的情况：</w:t>
      </w:r>
    </w:p>
    <w:p>
      <w:pPr>
        <w:spacing w:line="360" w:lineRule="auto"/>
        <w:rPr>
          <w:rStyle w:val="10"/>
          <w:rFonts w:ascii="宋体" w:eastAsia="宋体"/>
          <w:color w:val="000000" w:themeColor="text1"/>
          <w:sz w:val="21"/>
          <w:szCs w:val="21"/>
          <w14:textFill>
            <w14:solidFill>
              <w14:schemeClr w14:val="tx1"/>
            </w14:solidFill>
          </w14:textFill>
        </w:rPr>
      </w:pPr>
      <w:r>
        <w:rPr>
          <w:rStyle w:val="10"/>
          <w:rFonts w:hint="eastAsia" w:ascii="宋体" w:eastAsia="宋体"/>
          <w:color w:val="000000" w:themeColor="text1"/>
          <w:sz w:val="21"/>
          <w:szCs w:val="21"/>
          <w14:textFill>
            <w14:solidFill>
              <w14:schemeClr w14:val="tx1"/>
            </w14:solidFill>
          </w14:textFill>
        </w:rPr>
        <w:t>2.1内审情况：</w:t>
      </w:r>
      <w:r>
        <w:rPr>
          <w:rFonts w:hint="eastAsia" w:ascii="宋体" w:hAnsi="宋体"/>
          <w:bCs/>
          <w:color w:val="000000" w:themeColor="text1"/>
          <w:szCs w:val="21"/>
          <w14:textFill>
            <w14:solidFill>
              <w14:schemeClr w14:val="tx1"/>
            </w14:solidFill>
          </w14:textFill>
        </w:rPr>
        <w:t>公司于</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22</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01</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bCs/>
          <w:color w:val="000000" w:themeColor="text1"/>
          <w:szCs w:val="21"/>
          <w14:textFill>
            <w14:solidFill>
              <w14:schemeClr w14:val="tx1"/>
            </w14:solidFill>
          </w14:textFill>
        </w:rPr>
        <w:t>组织了公司</w:t>
      </w:r>
      <w:r>
        <w:rPr>
          <w:rFonts w:ascii="宋体" w:hAnsi="宋体"/>
          <w:bCs/>
          <w:color w:val="000000" w:themeColor="text1"/>
          <w:szCs w:val="21"/>
          <w14:textFill>
            <w14:solidFill>
              <w14:schemeClr w14:val="tx1"/>
            </w14:solidFill>
          </w14:textFill>
        </w:rPr>
        <w:t>测量管理体系，</w:t>
      </w:r>
      <w:r>
        <w:rPr>
          <w:rFonts w:hint="eastAsia" w:ascii="宋体" w:hAnsi="宋体"/>
          <w:bCs/>
          <w:color w:val="000000" w:themeColor="text1"/>
          <w:szCs w:val="21"/>
          <w14:textFill>
            <w14:solidFill>
              <w14:schemeClr w14:val="tx1"/>
            </w14:solidFill>
          </w14:textFill>
        </w:rPr>
        <w:t>内审分</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个组，对公司</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个部门进行了全要素的审核，</w:t>
      </w:r>
      <w:r>
        <w:rPr>
          <w:rFonts w:ascii="宋体" w:hAnsi="宋体"/>
          <w:bCs/>
          <w:color w:val="000000" w:themeColor="text1"/>
          <w:szCs w:val="21"/>
          <w14:textFill>
            <w14:solidFill>
              <w14:schemeClr w14:val="tx1"/>
            </w14:solidFill>
          </w14:textFill>
        </w:rPr>
        <w:t>共开出了</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不</w:t>
      </w:r>
      <w:r>
        <w:rPr>
          <w:rFonts w:ascii="宋体" w:hAnsi="宋体"/>
          <w:bCs/>
          <w:color w:val="000000" w:themeColor="text1"/>
          <w:szCs w:val="21"/>
          <w14:textFill>
            <w14:solidFill>
              <w14:schemeClr w14:val="tx1"/>
            </w14:solidFill>
          </w14:textFill>
        </w:rPr>
        <w:t>符合项</w:t>
      </w:r>
      <w:r>
        <w:rPr>
          <w:rFonts w:hint="eastAsia" w:ascii="宋体" w:hAnsi="宋体"/>
          <w:bCs/>
          <w:color w:val="000000" w:themeColor="text1"/>
          <w:szCs w:val="21"/>
          <w14:textFill>
            <w14:solidFill>
              <w14:schemeClr w14:val="tx1"/>
            </w14:solidFill>
          </w14:textFill>
        </w:rPr>
        <w:t>，于</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14:textFill>
            <w14:solidFill>
              <w14:schemeClr w14:val="tx1"/>
            </w14:solidFill>
          </w14:textFill>
        </w:rPr>
        <w:t>日完成整改。</w:t>
      </w:r>
    </w:p>
    <w:p>
      <w:pPr>
        <w:spacing w:line="360" w:lineRule="auto"/>
        <w:rPr>
          <w:rStyle w:val="10"/>
          <w:rFonts w:ascii="宋体" w:eastAsia="宋体"/>
          <w:color w:val="000000" w:themeColor="text1"/>
          <w:sz w:val="21"/>
          <w:szCs w:val="21"/>
          <w14:textFill>
            <w14:solidFill>
              <w14:schemeClr w14:val="tx1"/>
            </w14:solidFill>
          </w14:textFill>
        </w:rPr>
      </w:pPr>
      <w:r>
        <w:rPr>
          <w:rStyle w:val="10"/>
          <w:rFonts w:hint="eastAsia" w:ascii="宋体" w:eastAsia="宋体"/>
          <w:color w:val="000000" w:themeColor="text1"/>
          <w:sz w:val="21"/>
          <w:szCs w:val="21"/>
          <w14:textFill>
            <w14:solidFill>
              <w14:schemeClr w14:val="tx1"/>
            </w14:solidFill>
          </w14:textFill>
        </w:rPr>
        <w:t>2.2管理评审情况：企</w:t>
      </w:r>
      <w:r>
        <w:rPr>
          <w:rFonts w:hint="eastAsia"/>
          <w:bCs/>
          <w:color w:val="000000" w:themeColor="text1"/>
          <w:szCs w:val="21"/>
          <w14:textFill>
            <w14:solidFill>
              <w14:schemeClr w14:val="tx1"/>
            </w14:solidFill>
          </w14:textFill>
        </w:rPr>
        <w:t>业</w:t>
      </w:r>
      <w:r>
        <w:rPr>
          <w:rFonts w:hint="eastAsia"/>
          <w:color w:val="000000" w:themeColor="text1"/>
          <w:szCs w:val="21"/>
          <w14:textFill>
            <w14:solidFill>
              <w14:schemeClr w14:val="tx1"/>
            </w14:solidFill>
          </w14:textFill>
        </w:rPr>
        <w:t>于20</w:t>
      </w:r>
      <w:r>
        <w:rPr>
          <w:rFonts w:hint="eastAsia"/>
          <w:color w:val="000000" w:themeColor="text1"/>
          <w:szCs w:val="21"/>
          <w:lang w:val="en-US" w:eastAsia="zh-CN"/>
          <w14:textFill>
            <w14:solidFill>
              <w14:schemeClr w14:val="tx1"/>
            </w14:solidFill>
          </w14:textFill>
        </w:rPr>
        <w:t>22</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16</w:t>
      </w:r>
      <w:r>
        <w:rPr>
          <w:rFonts w:hint="eastAsia"/>
          <w:color w:val="000000" w:themeColor="text1"/>
          <w:szCs w:val="21"/>
          <w14:textFill>
            <w14:solidFill>
              <w14:schemeClr w14:val="tx1"/>
            </w14:solidFill>
          </w14:textFill>
        </w:rPr>
        <w:t>日</w:t>
      </w:r>
      <w:r>
        <w:rPr>
          <w:color w:val="000000" w:themeColor="text1"/>
          <w:szCs w:val="21"/>
          <w14:textFill>
            <w14:solidFill>
              <w14:schemeClr w14:val="tx1"/>
            </w14:solidFill>
          </w14:textFill>
        </w:rPr>
        <w:t>开展</w:t>
      </w:r>
      <w:r>
        <w:rPr>
          <w:rFonts w:hint="eastAsia"/>
          <w:color w:val="000000" w:themeColor="text1"/>
          <w:szCs w:val="21"/>
          <w14:textFill>
            <w14:solidFill>
              <w14:schemeClr w14:val="tx1"/>
            </w14:solidFill>
          </w14:textFill>
        </w:rPr>
        <w:t>了</w:t>
      </w:r>
      <w:r>
        <w:rPr>
          <w:rFonts w:hint="eastAsia"/>
          <w:color w:val="000000" w:themeColor="text1"/>
          <w:szCs w:val="21"/>
          <w:lang w:val="en-US" w:eastAsia="zh-CN"/>
          <w14:textFill>
            <w14:solidFill>
              <w14:schemeClr w14:val="tx1"/>
            </w14:solidFill>
          </w14:textFill>
        </w:rPr>
        <w:t>测量</w:t>
      </w:r>
      <w:r>
        <w:rPr>
          <w:rFonts w:hint="eastAsia"/>
          <w:color w:val="000000" w:themeColor="text1"/>
          <w:szCs w:val="21"/>
          <w14:textFill>
            <w14:solidFill>
              <w14:schemeClr w14:val="tx1"/>
            </w14:solidFill>
          </w14:textFill>
        </w:rPr>
        <w:t>体系管理评审，会议</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公司总经理</w:t>
      </w:r>
      <w:r>
        <w:rPr>
          <w:rFonts w:hint="eastAsia" w:ascii="宋体" w:hAnsi="宋体"/>
          <w:color w:val="000000" w:themeColor="text1"/>
          <w:szCs w:val="21"/>
          <w:lang w:eastAsia="zh-CN"/>
          <w14:textFill>
            <w14:solidFill>
              <w14:schemeClr w14:val="tx1"/>
            </w14:solidFill>
          </w14:textFill>
        </w:rPr>
        <w:t>谢解生</w:t>
      </w:r>
      <w:r>
        <w:rPr>
          <w:rFonts w:hint="eastAsia"/>
          <w:color w:val="000000" w:themeColor="text1"/>
          <w:szCs w:val="21"/>
          <w14:textFill>
            <w14:solidFill>
              <w14:schemeClr w14:val="tx1"/>
            </w14:solidFill>
          </w14:textFill>
        </w:rPr>
        <w:t>主持，由</w:t>
      </w:r>
      <w:r>
        <w:rPr>
          <w:color w:val="000000" w:themeColor="text1"/>
          <w:szCs w:val="21"/>
          <w14:textFill>
            <w14:solidFill>
              <w14:schemeClr w14:val="tx1"/>
            </w14:solidFill>
          </w14:textFill>
        </w:rPr>
        <w:t>管理者代表</w:t>
      </w:r>
      <w:r>
        <w:rPr>
          <w:rFonts w:hint="eastAsia"/>
          <w:color w:val="000000" w:themeColor="text1"/>
          <w:szCs w:val="21"/>
          <w:lang w:val="en-US" w:eastAsia="zh-CN"/>
          <w14:textFill>
            <w14:solidFill>
              <w14:schemeClr w14:val="tx1"/>
            </w14:solidFill>
          </w14:textFill>
        </w:rPr>
        <w:t>李龙生</w:t>
      </w:r>
      <w:r>
        <w:rPr>
          <w:color w:val="000000" w:themeColor="text1"/>
          <w:szCs w:val="21"/>
          <w14:textFill>
            <w14:solidFill>
              <w14:schemeClr w14:val="tx1"/>
            </w14:solidFill>
          </w14:textFill>
        </w:rPr>
        <w:t>汇报了体系运行情况。</w:t>
      </w:r>
      <w:r>
        <w:rPr>
          <w:rFonts w:hint="eastAsia"/>
          <w:color w:val="000000" w:themeColor="text1"/>
          <w:szCs w:val="21"/>
          <w14:textFill>
            <w14:solidFill>
              <w14:schemeClr w14:val="tx1"/>
            </w14:solidFill>
          </w14:textFill>
        </w:rPr>
        <w:t>会议肯定</w:t>
      </w:r>
      <w:r>
        <w:rPr>
          <w:color w:val="000000" w:themeColor="text1"/>
          <w:szCs w:val="21"/>
          <w14:textFill>
            <w14:solidFill>
              <w14:schemeClr w14:val="tx1"/>
            </w14:solidFill>
          </w14:textFill>
        </w:rPr>
        <w:t>了公司测量管理体系的充分</w:t>
      </w:r>
      <w:r>
        <w:rPr>
          <w:rFonts w:hint="eastAsia"/>
          <w:color w:val="000000" w:themeColor="text1"/>
          <w:szCs w:val="21"/>
          <w14:textFill>
            <w14:solidFill>
              <w14:schemeClr w14:val="tx1"/>
            </w14:solidFill>
          </w14:textFill>
        </w:rPr>
        <w:t>性</w:t>
      </w:r>
      <w:r>
        <w:rPr>
          <w:color w:val="000000" w:themeColor="text1"/>
          <w:szCs w:val="21"/>
          <w14:textFill>
            <w14:solidFill>
              <w14:schemeClr w14:val="tx1"/>
            </w14:solidFill>
          </w14:textFill>
        </w:rPr>
        <w:t>、有效性和适宜性</w:t>
      </w:r>
      <w:r>
        <w:rPr>
          <w:rFonts w:hint="eastAsia"/>
          <w:color w:val="000000" w:themeColor="text1"/>
          <w:szCs w:val="21"/>
          <w14:textFill>
            <w14:solidFill>
              <w14:schemeClr w14:val="tx1"/>
            </w14:solidFill>
          </w14:textFill>
        </w:rPr>
        <w:t>。形成</w:t>
      </w:r>
      <w:r>
        <w:rPr>
          <w:color w:val="000000" w:themeColor="text1"/>
          <w:szCs w:val="21"/>
          <w14:textFill>
            <w14:solidFill>
              <w14:schemeClr w14:val="tx1"/>
            </w14:solidFill>
          </w14:textFill>
        </w:rPr>
        <w:t>了管理评审报告</w:t>
      </w:r>
      <w:r>
        <w:rPr>
          <w:rFonts w:hint="eastAsia"/>
          <w:color w:val="000000" w:themeColor="text1"/>
          <w:szCs w:val="21"/>
          <w14:textFill>
            <w14:solidFill>
              <w14:schemeClr w14:val="tx1"/>
            </w14:solidFill>
          </w14:textFill>
        </w:rPr>
        <w:t>，对公司测量管理体系目前存在的</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个方面的问题落实了整改部门。</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14:textFill>
            <w14:solidFill>
              <w14:schemeClr w14:val="tx1"/>
            </w14:solidFill>
          </w14:textFill>
        </w:rPr>
        <w:t>未</w:t>
      </w:r>
      <w:r>
        <w:rPr>
          <w:rFonts w:hint="eastAsia" w:cs="宋体" w:asciiTheme="minorEastAsia" w:hAnsiTheme="minorEastAsia"/>
          <w:bCs/>
          <w:color w:val="000000" w:themeColor="text1"/>
          <w:kern w:val="0"/>
          <w:szCs w:val="21"/>
          <w14:textFill>
            <w14:solidFill>
              <w14:schemeClr w14:val="tx1"/>
            </w14:solidFill>
          </w14:textFill>
        </w:rPr>
        <w:t>增关键测量过程：</w:t>
      </w:r>
    </w:p>
    <w:p>
      <w:pPr>
        <w:widowControl/>
        <w:spacing w:line="360" w:lineRule="auto"/>
        <w:jc w:val="left"/>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a)计量要求的导出和验证：查</w:t>
      </w:r>
      <w:r>
        <w:rPr>
          <w:rFonts w:hint="eastAsia" w:ascii="宋体" w:hAnsi="宋体" w:eastAsia="宋体" w:cs="宋体"/>
          <w:color w:val="000000" w:themeColor="text1"/>
          <w:kern w:val="0"/>
          <w:szCs w:val="21"/>
          <w:lang w:eastAsia="zh-CN"/>
          <w14:textFill>
            <w14:solidFill>
              <w14:schemeClr w14:val="tx1"/>
            </w14:solidFill>
          </w14:textFill>
        </w:rPr>
        <w:t>换向器套筒前端盖上端直径测量过程</w:t>
      </w:r>
      <w:r>
        <w:rPr>
          <w:rFonts w:hint="eastAsia"/>
          <w:color w:val="000000" w:themeColor="text1"/>
          <w14:textFill>
            <w14:solidFill>
              <w14:schemeClr w14:val="tx1"/>
            </w14:solidFill>
          </w14:textFill>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w:t>
      </w:r>
      <w:r>
        <w:rPr>
          <w:rFonts w:cs="宋体" w:asciiTheme="minorEastAsia" w:hAnsiTheme="minorEastAsia"/>
          <w:color w:val="000000" w:themeColor="text1"/>
          <w:kern w:val="0"/>
          <w:szCs w:val="21"/>
          <w14:textFill>
            <w14:solidFill>
              <w14:schemeClr w14:val="tx1"/>
            </w14:solidFill>
          </w14:textFill>
        </w:rPr>
        <w:t>测量不确定评定</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宋体" w:hAnsi="宋体" w:eastAsia="宋体" w:cs="宋体"/>
          <w:color w:val="000000" w:themeColor="text1"/>
          <w:kern w:val="0"/>
          <w:szCs w:val="21"/>
          <w:lang w:eastAsia="zh-CN"/>
          <w14:textFill>
            <w14:solidFill>
              <w14:schemeClr w14:val="tx1"/>
            </w14:solidFill>
          </w14:textFill>
        </w:rPr>
        <w:t>换向器套筒前端盖上端直径测量过程</w:t>
      </w:r>
      <w:r>
        <w:rPr>
          <w:rFonts w:hint="eastAsia"/>
          <w:color w:val="000000" w:themeColor="text1"/>
          <w14:textFill>
            <w14:solidFill>
              <w14:schemeClr w14:val="tx1"/>
            </w14:solidFill>
          </w14:textFill>
        </w:rPr>
        <w:t>，测量不确定度评定正确。祥见附件《测量不确定度评定》</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c)有效性确认：查</w:t>
      </w:r>
      <w:r>
        <w:rPr>
          <w:rFonts w:hint="eastAsia" w:ascii="宋体" w:hAnsi="宋体" w:eastAsia="宋体" w:cs="宋体"/>
          <w:color w:val="000000" w:themeColor="text1"/>
          <w:kern w:val="0"/>
          <w:szCs w:val="21"/>
          <w:lang w:eastAsia="zh-CN"/>
          <w14:textFill>
            <w14:solidFill>
              <w14:schemeClr w14:val="tx1"/>
            </w14:solidFill>
          </w14:textFill>
        </w:rPr>
        <w:t>换向器套筒前端盖上端直径测量过程</w:t>
      </w:r>
      <w:r>
        <w:rPr>
          <w:rFonts w:hint="eastAsia"/>
          <w:color w:val="000000" w:themeColor="text1"/>
          <w14:textFill>
            <w14:solidFill>
              <w14:schemeClr w14:val="tx1"/>
            </w14:solidFill>
          </w14:textFill>
        </w:rPr>
        <w:t>，采用计量进行比对进行有效性确认，满足要求。祥见附件《测量过程有效性确认》</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d)</w:t>
      </w:r>
      <w:r>
        <w:rPr>
          <w:rFonts w:cs="宋体" w:asciiTheme="minorEastAsia" w:hAnsiTheme="minorEastAsia"/>
          <w:color w:val="000000" w:themeColor="text1"/>
          <w:kern w:val="0"/>
          <w:szCs w:val="21"/>
          <w14:textFill>
            <w14:solidFill>
              <w14:schemeClr w14:val="tx1"/>
            </w14:solidFill>
          </w14:textFill>
        </w:rPr>
        <w:t>测量过程的控制</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宋体" w:hAnsi="宋体" w:eastAsia="宋体" w:cs="宋体"/>
          <w:color w:val="000000" w:themeColor="text1"/>
          <w:kern w:val="0"/>
          <w:szCs w:val="21"/>
          <w:lang w:eastAsia="zh-CN"/>
          <w14:textFill>
            <w14:solidFill>
              <w14:schemeClr w14:val="tx1"/>
            </w14:solidFill>
          </w14:textFill>
        </w:rPr>
        <w:t>换向器套筒前端盖上端直径测量过程</w:t>
      </w:r>
      <w:r>
        <w:rPr>
          <w:rFonts w:hint="eastAsia"/>
          <w:color w:val="000000" w:themeColor="text1"/>
          <w14:textFill>
            <w14:solidFill>
              <w14:schemeClr w14:val="tx1"/>
            </w14:solidFill>
          </w14:textFill>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e)</w:t>
      </w:r>
      <w:r>
        <w:rPr>
          <w:rFonts w:cs="宋体" w:asciiTheme="minorEastAsia" w:hAnsiTheme="minorEastAsia"/>
          <w:color w:val="000000" w:themeColor="text1"/>
          <w:kern w:val="0"/>
          <w:szCs w:val="21"/>
          <w14:textFill>
            <w14:solidFill>
              <w14:schemeClr w14:val="tx1"/>
            </w14:solidFill>
          </w14:textFill>
        </w:rPr>
        <w:t>测量过程的监视</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宋体" w:hAnsi="宋体" w:eastAsia="宋体" w:cs="宋体"/>
          <w:color w:val="000000" w:themeColor="text1"/>
          <w:kern w:val="0"/>
          <w:szCs w:val="21"/>
          <w:lang w:eastAsia="zh-CN"/>
          <w14:textFill>
            <w14:solidFill>
              <w14:schemeClr w14:val="tx1"/>
            </w14:solidFill>
          </w14:textFill>
        </w:rPr>
        <w:t>换向器套筒前端盖上端直径测量过程</w:t>
      </w:r>
      <w:r>
        <w:rPr>
          <w:rFonts w:hint="eastAsia"/>
          <w:color w:val="000000" w:themeColor="text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采用统计技术进行控制和监视测量过程。祥见《测量过程监视记录》</w:t>
      </w:r>
    </w:p>
    <w:p>
      <w:pPr>
        <w:spacing w:line="360" w:lineRule="auto"/>
        <w:ind w:firstLine="420" w:firstLineChars="200"/>
        <w:rPr>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f)测量设备的溯源：</w:t>
      </w:r>
      <w:r>
        <w:rPr>
          <w:rFonts w:hint="eastAsia"/>
          <w:color w:val="000000" w:themeColor="text1"/>
          <w:szCs w:val="21"/>
          <w14:textFill>
            <w14:solidFill>
              <w14:schemeClr w14:val="tx1"/>
            </w14:solidFill>
          </w14:textFill>
        </w:rPr>
        <w:t>公司</w:t>
      </w:r>
      <w:r>
        <w:rPr>
          <w:rFonts w:hint="eastAsia"/>
          <w:color w:val="000000" w:themeColor="text1"/>
          <w:szCs w:val="21"/>
          <w:lang w:val="en-US" w:eastAsia="zh-CN"/>
          <w14:textFill>
            <w14:solidFill>
              <w14:schemeClr w14:val="tx1"/>
            </w14:solidFill>
          </w14:textFill>
        </w:rPr>
        <w:t>已未</w:t>
      </w:r>
      <w:r>
        <w:rPr>
          <w:rFonts w:hint="eastAsia"/>
          <w:color w:val="000000" w:themeColor="text1"/>
          <w:szCs w:val="21"/>
          <w14:textFill>
            <w14:solidFill>
              <w14:schemeClr w14:val="tx1"/>
            </w14:solidFill>
          </w14:textFill>
        </w:rPr>
        <w:t>建立</w:t>
      </w:r>
      <w:r>
        <w:rPr>
          <w:rFonts w:hint="eastAsia"/>
          <w:color w:val="000000" w:themeColor="text1"/>
          <w:szCs w:val="21"/>
          <w:lang w:val="en-US" w:eastAsia="zh-CN"/>
          <w14:textFill>
            <w14:solidFill>
              <w14:schemeClr w14:val="tx1"/>
            </w14:solidFill>
          </w14:textFill>
        </w:rPr>
        <w:t>计量</w:t>
      </w:r>
      <w:r>
        <w:rPr>
          <w:rFonts w:hint="eastAsia"/>
          <w:color w:val="000000" w:themeColor="text1"/>
          <w:szCs w:val="21"/>
          <w14:textFill>
            <w14:solidFill>
              <w14:schemeClr w14:val="tx1"/>
            </w14:solidFill>
          </w14:textFill>
        </w:rPr>
        <w:t>标准，测量设备全部送至运城市质量技术监督检验测试所检定、校准，抽查</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台件测量设备，符合量值溯源性管理的要求。祥见《测量设备溯源检查表》</w:t>
      </w:r>
    </w:p>
    <w:p>
      <w:pPr>
        <w:widowControl/>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4.能源管理情况：</w:t>
      </w:r>
    </w:p>
    <w:p>
      <w:pPr>
        <w:widowControl/>
        <w:spacing w:line="360" w:lineRule="auto"/>
        <w:ind w:firstLine="240" w:firstLineChars="100"/>
        <w:rPr>
          <w:rFonts w:ascii="宋体" w:hAnsi="宋体" w:eastAsia="宋体"/>
          <w:bCs/>
          <w:color w:val="000000" w:themeColor="text1"/>
          <w:szCs w:val="21"/>
          <w14:textFill>
            <w14:solidFill>
              <w14:schemeClr w14:val="tx1"/>
            </w14:solidFill>
          </w14:textFill>
        </w:rPr>
      </w:pPr>
      <w:r>
        <w:rPr>
          <w:rFonts w:hint="eastAsia"/>
          <w:color w:val="000000" w:themeColor="text1"/>
          <w:sz w:val="24"/>
          <w:szCs w:val="24"/>
          <w14:textFill>
            <w14:solidFill>
              <w14:schemeClr w14:val="tx1"/>
            </w14:solidFill>
          </w14:textFill>
        </w:rPr>
        <w:t>企</w:t>
      </w:r>
      <w:r>
        <w:rPr>
          <w:rFonts w:hint="eastAsia" w:ascii="宋体" w:hAnsi="宋体" w:eastAsia="宋体"/>
          <w:bCs/>
          <w:color w:val="000000" w:themeColor="text1"/>
          <w:szCs w:val="21"/>
          <w14:textFill>
            <w14:solidFill>
              <w14:schemeClr w14:val="tx1"/>
            </w14:solidFill>
          </w14:textFill>
        </w:rPr>
        <w:t>业20</w:t>
      </w:r>
      <w:r>
        <w:rPr>
          <w:rFonts w:hint="eastAsia" w:ascii="宋体" w:hAnsi="宋体" w:eastAsia="宋体"/>
          <w:bCs/>
          <w:color w:val="000000" w:themeColor="text1"/>
          <w:szCs w:val="21"/>
          <w:lang w:val="en-US" w:eastAsia="zh-CN"/>
          <w14:textFill>
            <w14:solidFill>
              <w14:schemeClr w14:val="tx1"/>
            </w14:solidFill>
          </w14:textFill>
        </w:rPr>
        <w:t>21</w:t>
      </w:r>
      <w:r>
        <w:rPr>
          <w:rFonts w:hint="eastAsia" w:ascii="宋体" w:hAnsi="宋体" w:eastAsia="宋体"/>
          <w:bCs/>
          <w:color w:val="000000" w:themeColor="text1"/>
          <w:szCs w:val="21"/>
          <w14:textFill>
            <w14:solidFill>
              <w14:schemeClr w14:val="tx1"/>
            </w14:solidFill>
          </w14:textFill>
        </w:rPr>
        <w:t>年耗能</w:t>
      </w:r>
      <w:r>
        <w:rPr>
          <w:rFonts w:hint="eastAsia" w:cs="宋体" w:asciiTheme="minorEastAsia" w:hAnsiTheme="minorEastAsia"/>
          <w:color w:val="000000" w:themeColor="text1"/>
          <w:kern w:val="0"/>
          <w:szCs w:val="21"/>
          <w:lang w:val="en-US" w:eastAsia="zh-CN"/>
          <w14:textFill>
            <w14:solidFill>
              <w14:schemeClr w14:val="tx1"/>
            </w14:solidFill>
          </w14:textFill>
        </w:rPr>
        <w:t>26吨标煤</w:t>
      </w:r>
      <w:r>
        <w:rPr>
          <w:rFonts w:hint="eastAsia" w:ascii="宋体" w:hAnsi="宋体" w:eastAsia="宋体"/>
          <w:bCs/>
          <w:color w:val="000000" w:themeColor="text1"/>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该公司</w:t>
      </w:r>
      <w:r>
        <w:rPr>
          <w:rFonts w:hint="eastAsia" w:cs="宋体" w:asciiTheme="minorEastAsia" w:hAnsiTheme="minorEastAsia"/>
          <w:color w:val="000000" w:themeColor="text1"/>
          <w:kern w:val="0"/>
          <w:szCs w:val="21"/>
          <w:lang w:val="en-US" w:eastAsia="zh-CN"/>
          <w14:textFill>
            <w14:solidFill>
              <w14:schemeClr w14:val="tx1"/>
            </w14:solidFill>
          </w14:textFill>
        </w:rPr>
        <w:t>不</w:t>
      </w:r>
      <w:r>
        <w:rPr>
          <w:rFonts w:hint="eastAsia" w:cs="宋体" w:asciiTheme="minorEastAsia" w:hAnsiTheme="minorEastAsia"/>
          <w:color w:val="000000" w:themeColor="text1"/>
          <w:kern w:val="0"/>
          <w:szCs w:val="21"/>
          <w14:textFill>
            <w14:solidFill>
              <w14:schemeClr w14:val="tx1"/>
            </w14:solidFill>
          </w14:textFill>
        </w:rPr>
        <w:t>属于重点能耗企业，已经按要求统计公司水电气总能耗</w:t>
      </w:r>
      <w:r>
        <w:rPr>
          <w:rFonts w:hint="eastAsia" w:cs="宋体" w:asciiTheme="minorEastAsia" w:hAnsiTheme="minorEastAsia"/>
          <w:color w:val="000000" w:themeColor="text1"/>
          <w:kern w:val="0"/>
          <w:szCs w:val="21"/>
          <w:lang w:eastAsia="zh-CN"/>
          <w14:textFill>
            <w14:solidFill>
              <w14:schemeClr w14:val="tx1"/>
            </w14:solidFill>
          </w14:textFill>
        </w:rPr>
        <w:t>，能源计量器具已</w:t>
      </w:r>
      <w:r>
        <w:rPr>
          <w:rFonts w:hint="eastAsia" w:cs="宋体" w:asciiTheme="minorEastAsia" w:hAnsiTheme="minorEastAsia"/>
          <w:color w:val="000000" w:themeColor="text1"/>
          <w:kern w:val="0"/>
          <w:szCs w:val="21"/>
          <w:lang w:val="en-US" w:eastAsia="zh-CN"/>
          <w14:textFill>
            <w14:solidFill>
              <w14:schemeClr w14:val="tx1"/>
            </w14:solidFill>
          </w14:textFill>
        </w:rPr>
        <w:t>进入</w:t>
      </w:r>
      <w:r>
        <w:rPr>
          <w:rFonts w:hint="eastAsia" w:cs="宋体" w:asciiTheme="minorEastAsia" w:hAnsiTheme="minorEastAsia"/>
          <w:color w:val="000000" w:themeColor="text1"/>
          <w:kern w:val="0"/>
          <w:szCs w:val="21"/>
          <w:lang w:eastAsia="zh-CN"/>
          <w14:textFill>
            <w14:solidFill>
              <w14:schemeClr w14:val="tx1"/>
            </w14:solidFill>
          </w14:textFill>
        </w:rPr>
        <w:t>台</w:t>
      </w:r>
      <w:r>
        <w:rPr>
          <w:rFonts w:hint="eastAsia" w:cs="宋体" w:asciiTheme="minorEastAsia" w:hAnsiTheme="minorEastAsia"/>
          <w:color w:val="000000" w:themeColor="text1"/>
          <w:kern w:val="0"/>
          <w:szCs w:val="21"/>
          <w:lang w:val="en-US" w:eastAsia="zh-CN"/>
          <w14:textFill>
            <w14:solidFill>
              <w14:schemeClr w14:val="tx1"/>
            </w14:solidFill>
          </w14:textFill>
        </w:rPr>
        <w:t>帐管理</w:t>
      </w:r>
      <w:r>
        <w:rPr>
          <w:rFonts w:hint="eastAsia" w:ascii="宋体" w:hAnsi="宋体" w:eastAsia="宋体"/>
          <w:bCs/>
          <w:color w:val="000000" w:themeColor="text1"/>
          <w:szCs w:val="21"/>
          <w14:textFill>
            <w14:solidFill>
              <w14:schemeClr w14:val="tx1"/>
            </w14:solidFill>
          </w14:textFill>
        </w:rPr>
        <w:t>，能源计量管理满足GB17167要求。</w:t>
      </w:r>
    </w:p>
    <w:p>
      <w:pPr>
        <w:widowControl/>
        <w:numPr>
          <w:ilvl w:val="0"/>
          <w:numId w:val="1"/>
        </w:num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对认证审核时提出的的不符合项的纠正措施情况有表述</w:t>
      </w:r>
      <w:r>
        <w:rPr>
          <w:rFonts w:cs="宋体" w:asciiTheme="minorEastAsia" w:hAnsiTheme="minorEastAsia"/>
          <w:bCs/>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w:t>
      </w:r>
    </w:p>
    <w:p>
      <w:pPr>
        <w:widowControl/>
        <w:numPr>
          <w:numId w:val="0"/>
        </w:numPr>
        <w:spacing w:line="360" w:lineRule="auto"/>
        <w:ind w:firstLine="420" w:firstLineChars="200"/>
        <w:rPr>
          <w:rFonts w:cs="宋体" w:asciiTheme="minorEastAsia" w:hAnsiTheme="minorEastAsia"/>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查20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年外审开出了一项不符合项报告：</w:t>
      </w:r>
      <w:r>
        <w:rPr>
          <w:rFonts w:hint="eastAsia" w:ascii="宋体" w:hAnsi="宋体" w:cs="宋体"/>
          <w:bCs/>
          <w:color w:val="000000" w:themeColor="text1"/>
          <w:kern w:val="0"/>
          <w:szCs w:val="21"/>
          <w:lang w:eastAsia="zh-CN"/>
          <w14:textFill>
            <w14:solidFill>
              <w14:schemeClr w14:val="tx1"/>
            </w14:solidFill>
          </w14:textFill>
        </w:rPr>
        <w:t>“</w:t>
      </w:r>
      <w:r>
        <w:rPr>
          <w:rFonts w:hint="eastAsia" w:cs="宋体" w:asciiTheme="minorEastAsia" w:hAnsiTheme="minorEastAsia"/>
          <w:bCs/>
          <w:color w:val="000000" w:themeColor="text1"/>
          <w:kern w:val="0"/>
          <w:szCs w:val="21"/>
          <w:lang w:val="en-US" w:eastAsia="zh-CN"/>
          <w14:textFill>
            <w14:solidFill>
              <w14:schemeClr w14:val="tx1"/>
            </w14:solidFill>
          </w14:textFill>
        </w:rPr>
        <w:t>查检验</w:t>
      </w:r>
      <w:r>
        <w:rPr>
          <w:rFonts w:hint="eastAsia"/>
          <w:color w:val="000000" w:themeColor="text1"/>
          <w:szCs w:val="21"/>
          <w:lang w:val="en-US" w:eastAsia="zh-CN"/>
          <w14:textFill>
            <w14:solidFill>
              <w14:schemeClr w14:val="tx1"/>
            </w14:solidFill>
          </w14:textFill>
        </w:rPr>
        <w:t>科，编号C08081，（0-25）mm，分度值0.01mm的外径千分尺，不能提供有效溯源记录，不符合GB/T 19022-2003标准7.3.2 条款的要求”</w:t>
      </w:r>
      <w:r>
        <w:rPr>
          <w:rFonts w:hint="eastAsia" w:ascii="宋体" w:hAnsi="宋体" w:cs="宋体"/>
          <w:bCs/>
          <w:color w:val="000000" w:themeColor="text1"/>
          <w:kern w:val="0"/>
          <w:szCs w:val="21"/>
          <w14:textFill>
            <w14:solidFill>
              <w14:schemeClr w14:val="tx1"/>
            </w14:solidFill>
          </w14:textFill>
        </w:rPr>
        <w:t>企业对不符合组织了纠正，1.经确认该设备已溯源；2.</w:t>
      </w:r>
      <w:r>
        <w:rPr>
          <w:rFonts w:hint="eastAsia" w:ascii="宋体" w:hAnsi="宋体" w:cs="宋体"/>
          <w:bCs/>
          <w:color w:val="000000" w:themeColor="text1"/>
          <w:kern w:val="0"/>
          <w:szCs w:val="21"/>
          <w:lang w:val="en-US" w:eastAsia="zh-CN"/>
          <w14:textFill>
            <w14:solidFill>
              <w14:schemeClr w14:val="tx1"/>
            </w14:solidFill>
          </w14:textFill>
        </w:rPr>
        <w:t>加强了相关制度及培训</w:t>
      </w:r>
      <w:r>
        <w:rPr>
          <w:rFonts w:hint="eastAsia" w:ascii="宋体" w:hAnsi="宋体" w:cs="宋体"/>
          <w:bCs/>
          <w:color w:val="000000" w:themeColor="text1"/>
          <w:kern w:val="0"/>
          <w:szCs w:val="21"/>
          <w14:textFill>
            <w14:solidFill>
              <w14:schemeClr w14:val="tx1"/>
            </w14:solidFill>
          </w14:textFill>
        </w:rPr>
        <w:t>避免相同问题重复发生。验证该不符合项纠正措施有效，同意关闭。</w:t>
      </w:r>
    </w:p>
    <w:p>
      <w:pPr>
        <w:widowControl/>
        <w:numPr>
          <w:ilvl w:val="0"/>
          <w:numId w:val="2"/>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w:t>
      </w:r>
      <w:r>
        <w:rPr>
          <w:rFonts w:hint="eastAsia" w:asciiTheme="minorEastAsia" w:hAnsiTheme="minorEastAsia"/>
          <w:bCs/>
          <w:color w:val="000000" w:themeColor="text1"/>
          <w:szCs w:val="21"/>
          <w14:textFill>
            <w14:solidFill>
              <w14:schemeClr w14:val="tx1"/>
            </w14:solidFill>
          </w14:textFill>
        </w:rPr>
        <w:t>投诉的处理</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企业202</w:t>
      </w:r>
      <w:r>
        <w:rPr>
          <w:rFonts w:hint="eastAsia" w:cs="宋体" w:asciiTheme="minorEastAsia" w:hAnsiTheme="minorEastAsia"/>
          <w:bCs/>
          <w:color w:val="000000" w:themeColor="text1"/>
          <w:kern w:val="0"/>
          <w:szCs w:val="21"/>
          <w:lang w:val="en-US" w:eastAsia="zh-CN"/>
          <w14:textFill>
            <w14:solidFill>
              <w14:schemeClr w14:val="tx1"/>
            </w14:solidFill>
          </w14:textFill>
        </w:rPr>
        <w:t>1</w:t>
      </w:r>
      <w:r>
        <w:rPr>
          <w:rFonts w:hint="eastAsia" w:cs="宋体" w:asciiTheme="minorEastAsia" w:hAnsiTheme="minorEastAsia"/>
          <w:bCs/>
          <w:color w:val="000000" w:themeColor="text1"/>
          <w:kern w:val="0"/>
          <w:szCs w:val="21"/>
          <w14:textFill>
            <w14:solidFill>
              <w14:schemeClr w14:val="tx1"/>
            </w14:solidFill>
          </w14:textFill>
        </w:rPr>
        <w:t>年有未有顾客的投诉。</w:t>
      </w:r>
      <w:r>
        <w:rPr>
          <w:rFonts w:hint="eastAsia"/>
          <w:bCs/>
          <w:color w:val="000000" w:themeColor="text1"/>
          <w:szCs w:val="21"/>
          <w14:textFill>
            <w14:solidFill>
              <w14:schemeClr w14:val="tx1"/>
            </w14:solidFill>
          </w14:textFill>
        </w:rPr>
        <w:t>企业未有</w:t>
      </w:r>
      <w:r>
        <w:rPr>
          <w:rFonts w:ascii="宋体" w:hAnsi="宋体" w:cs="宋体"/>
          <w:bCs/>
          <w:color w:val="000000" w:themeColor="text1"/>
          <w:kern w:val="0"/>
          <w:szCs w:val="21"/>
          <w14:textFill>
            <w14:solidFill>
              <w14:schemeClr w14:val="tx1"/>
            </w14:solidFill>
          </w14:textFill>
        </w:rPr>
        <w:t>违反法律</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法规</w:t>
      </w:r>
      <w:r>
        <w:rPr>
          <w:rFonts w:hint="eastAsia" w:ascii="宋体" w:hAnsi="宋体" w:cs="宋体"/>
          <w:bCs/>
          <w:color w:val="000000" w:themeColor="text1"/>
          <w:kern w:val="0"/>
          <w:szCs w:val="21"/>
          <w14:textFill>
            <w14:solidFill>
              <w14:schemeClr w14:val="tx1"/>
            </w14:solidFill>
          </w14:textFill>
        </w:rPr>
        <w:t>问题和产品质量问题的投诉或</w:t>
      </w:r>
      <w:r>
        <w:rPr>
          <w:rFonts w:ascii="宋体" w:hAnsi="宋体" w:cs="宋体"/>
          <w:bCs/>
          <w:color w:val="000000" w:themeColor="text1"/>
          <w:kern w:val="0"/>
          <w:szCs w:val="21"/>
          <w14:textFill>
            <w14:solidFill>
              <w14:schemeClr w14:val="tx1"/>
            </w14:solidFill>
          </w14:textFill>
        </w:rPr>
        <w:t>重大</w:t>
      </w:r>
      <w:r>
        <w:rPr>
          <w:rFonts w:hint="eastAsia" w:ascii="宋体" w:hAnsi="宋体" w:cs="宋体"/>
          <w:bCs/>
          <w:color w:val="000000" w:themeColor="text1"/>
          <w:kern w:val="0"/>
          <w:szCs w:val="21"/>
          <w14:textFill>
            <w14:solidFill>
              <w14:schemeClr w14:val="tx1"/>
            </w14:solidFill>
          </w14:textFill>
        </w:rPr>
        <w:t>质量</w:t>
      </w:r>
      <w:r>
        <w:rPr>
          <w:rFonts w:ascii="宋体" w:hAnsi="宋体" w:cs="宋体"/>
          <w:bCs/>
          <w:color w:val="000000" w:themeColor="text1"/>
          <w:kern w:val="0"/>
          <w:szCs w:val="21"/>
          <w14:textFill>
            <w14:solidFill>
              <w14:schemeClr w14:val="tx1"/>
            </w14:solidFill>
          </w14:textFill>
        </w:rPr>
        <w:t>事故</w:t>
      </w:r>
      <w:r>
        <w:rPr>
          <w:rFonts w:hint="eastAsia" w:ascii="宋体" w:hAnsi="宋体" w:cs="宋体"/>
          <w:bCs/>
          <w:color w:val="000000" w:themeColor="text1"/>
          <w:kern w:val="0"/>
          <w:szCs w:val="21"/>
          <w14:textFill>
            <w14:solidFill>
              <w14:schemeClr w14:val="tx1"/>
            </w14:solidFill>
          </w14:textFill>
        </w:rPr>
        <w:t>发生。</w:t>
      </w:r>
    </w:p>
    <w:p>
      <w:pPr>
        <w:widowControl/>
        <w:numPr>
          <w:ilvl w:val="0"/>
          <w:numId w:val="2"/>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测量管理体系在实现获证客户目标方面的有效性及持续的运作控制</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公司制定了</w:t>
      </w:r>
      <w:r>
        <w:rPr>
          <w:rFonts w:hint="eastAsia" w:ascii="宋体" w:hAnsi="宋体" w:eastAsia="宋体"/>
          <w:bCs/>
          <w:color w:val="000000" w:themeColor="text1"/>
          <w:szCs w:val="21"/>
          <w:lang w:val="en-US" w:eastAsia="zh-CN"/>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项质量目标，对目标进行了分解，查20</w:t>
      </w:r>
      <w:r>
        <w:rPr>
          <w:rFonts w:hint="eastAsia" w:ascii="宋体" w:hAnsi="宋体" w:eastAsia="宋体"/>
          <w:bCs/>
          <w:color w:val="000000" w:themeColor="text1"/>
          <w:szCs w:val="21"/>
          <w:lang w:val="en-US" w:eastAsia="zh-CN"/>
          <w14:textFill>
            <w14:solidFill>
              <w14:schemeClr w14:val="tx1"/>
            </w14:solidFill>
          </w14:textFill>
        </w:rPr>
        <w:t>21</w:t>
      </w:r>
      <w:r>
        <w:rPr>
          <w:rFonts w:hint="eastAsia" w:ascii="宋体" w:hAnsi="宋体" w:eastAsia="宋体"/>
          <w:bCs/>
          <w:color w:val="000000" w:themeColor="text1"/>
          <w:szCs w:val="21"/>
          <w14:textFill>
            <w14:solidFill>
              <w14:schemeClr w14:val="tx1"/>
            </w14:solidFill>
          </w14:textFill>
        </w:rPr>
        <w:t>年1月到</w:t>
      </w:r>
      <w:r>
        <w:rPr>
          <w:rFonts w:hint="eastAsia" w:ascii="宋体" w:hAnsi="宋体" w:eastAsia="宋体"/>
          <w:bCs/>
          <w:color w:val="000000" w:themeColor="text1"/>
          <w:szCs w:val="21"/>
          <w:lang w:val="en-US" w:eastAsia="zh-CN"/>
          <w14:textFill>
            <w14:solidFill>
              <w14:schemeClr w14:val="tx1"/>
            </w14:solidFill>
          </w14:textFill>
        </w:rPr>
        <w:t>12</w:t>
      </w:r>
      <w:r>
        <w:rPr>
          <w:rFonts w:hint="eastAsia" w:ascii="宋体" w:hAnsi="宋体" w:eastAsia="宋体"/>
          <w:bCs/>
          <w:color w:val="000000" w:themeColor="text1"/>
          <w:szCs w:val="21"/>
          <w14:textFill>
            <w14:solidFill>
              <w14:schemeClr w14:val="tx1"/>
            </w14:solidFill>
          </w14:textFill>
        </w:rPr>
        <w:t>月质量目标完成情况检查表，按目标、措施、完成情况、未完成情况进行统计，记录内容全，每月统计，质量目标管理满足要求。</w:t>
      </w:r>
    </w:p>
    <w:p>
      <w:pPr>
        <w:widowControl/>
        <w:numPr>
          <w:ilvl w:val="0"/>
          <w:numId w:val="2"/>
        </w:num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对企业组织任何变更的审核</w:t>
      </w:r>
    </w:p>
    <w:p>
      <w:pPr>
        <w:widowControl/>
        <w:spacing w:line="360" w:lineRule="auto"/>
        <w:ind w:firstLine="420" w:firstLineChars="200"/>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企业营业执照和组织机构未发生变化。</w:t>
      </w:r>
    </w:p>
    <w:p>
      <w:pPr>
        <w:widowControl/>
        <w:numPr>
          <w:ilvl w:val="0"/>
          <w:numId w:val="2"/>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标志的使用和（或）任何其他对认证资</w:t>
      </w:r>
      <w:r>
        <w:rPr>
          <w:rFonts w:hint="eastAsia"/>
          <w:bCs/>
          <w:color w:val="000000" w:themeColor="text1"/>
          <w14:textFill>
            <w14:solidFill>
              <w14:schemeClr w14:val="tx1"/>
            </w14:solidFill>
          </w14:textFill>
        </w:rPr>
        <w:t>格引用</w:t>
      </w:r>
      <w:r>
        <w:rPr>
          <w:rFonts w:cs="宋体" w:asciiTheme="minorEastAsia" w:hAnsiTheme="minorEastAsia"/>
          <w:bCs/>
          <w:color w:val="000000" w:themeColor="text1"/>
          <w:kern w:val="0"/>
          <w:szCs w:val="21"/>
          <w14:textFill>
            <w14:solidFill>
              <w14:schemeClr w14:val="tx1"/>
            </w14:solidFill>
          </w14:textFill>
        </w:rPr>
        <w:t>的情况：</w:t>
      </w:r>
    </w:p>
    <w:p>
      <w:pPr>
        <w:widowControl/>
        <w:spacing w:line="360" w:lineRule="auto"/>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 xml:space="preserve"> 用于企业的形象宣传。</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0.</w:t>
      </w:r>
      <w:r>
        <w:rPr>
          <w:rFonts w:hint="eastAsia" w:ascii="宋体" w:hAnsi="宋体" w:eastAsia="宋体" w:cs="宋体"/>
          <w:color w:val="000000" w:themeColor="text1"/>
          <w:kern w:val="0"/>
          <w:szCs w:val="21"/>
          <w14:textFill>
            <w14:solidFill>
              <w14:schemeClr w14:val="tx1"/>
            </w14:solidFill>
          </w14:textFill>
        </w:rPr>
        <w:t xml:space="preserve"> 本次监督审核</w:t>
      </w:r>
      <w:r>
        <w:rPr>
          <w:rFonts w:hint="eastAsia" w:ascii="宋体" w:hAnsi="宋体" w:eastAsia="宋体" w:cs="宋体"/>
          <w:color w:val="000000" w:themeColor="text1"/>
          <w:kern w:val="0"/>
          <w:szCs w:val="21"/>
          <w:lang w:val="en-US" w:eastAsia="zh-CN"/>
          <w14:textFill>
            <w14:solidFill>
              <w14:schemeClr w14:val="tx1"/>
            </w14:solidFill>
          </w14:textFill>
        </w:rPr>
        <w:t>未发现</w:t>
      </w:r>
      <w:r>
        <w:rPr>
          <w:rFonts w:hint="eastAsia" w:ascii="宋体" w:hAnsi="宋体" w:eastAsia="宋体" w:cs="宋体"/>
          <w:color w:val="000000" w:themeColor="text1"/>
          <w:kern w:val="0"/>
          <w:szCs w:val="21"/>
          <w14:textFill>
            <w14:solidFill>
              <w14:schemeClr w14:val="tx1"/>
            </w14:solidFill>
          </w14:textFill>
        </w:rPr>
        <w:t>不符合项，未发现严重的或系统性的不符合情况</w:t>
      </w:r>
      <w:r>
        <w:rPr>
          <w:rFonts w:hint="eastAsia" w:ascii="宋体" w:hAnsi="宋体" w:eastAsia="宋体" w:cs="宋体"/>
          <w:color w:val="000000" w:themeColor="text1"/>
          <w:kern w:val="0"/>
          <w:szCs w:val="21"/>
          <w:lang w:eastAsia="zh-CN"/>
          <w14:textFill>
            <w14:solidFill>
              <w14:schemeClr w14:val="tx1"/>
            </w14:solidFill>
          </w14:textFill>
        </w:rPr>
        <w:t>；</w:t>
      </w:r>
    </w:p>
    <w:p>
      <w:pPr>
        <w:widowControl/>
        <w:spacing w:line="360" w:lineRule="auto"/>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lang w:val="en-US" w:eastAsia="zh-CN"/>
          <w14:textFill>
            <w14:solidFill>
              <w14:schemeClr w14:val="tx1"/>
            </w14:solidFill>
          </w14:textFill>
        </w:rPr>
        <w:t>三、</w:t>
      </w:r>
      <w:r>
        <w:rPr>
          <w:rFonts w:cs="宋体" w:asciiTheme="minorEastAsia" w:hAnsiTheme="minorEastAsia"/>
          <w:b/>
          <w:bCs/>
          <w:color w:val="000000" w:themeColor="text1"/>
          <w:kern w:val="0"/>
          <w:szCs w:val="21"/>
          <w14:textFill>
            <w14:solidFill>
              <w14:schemeClr w14:val="tx1"/>
            </w14:solidFill>
          </w14:textFill>
        </w:rPr>
        <w:t>监督审核结论意见(含需要说明的事项):</w:t>
      </w:r>
    </w:p>
    <w:p>
      <w:pPr>
        <w:numPr>
          <w:ilvl w:val="0"/>
          <w:numId w:val="0"/>
        </w:numPr>
        <w:snapToGrid w:val="0"/>
        <w:spacing w:line="360" w:lineRule="auto"/>
        <w:ind w:right="-512" w:rightChars="-244" w:firstLine="420" w:firstLineChars="200"/>
        <w:rPr>
          <w:rFonts w:hint="eastAsia" w:asciiTheme="minorEastAsia" w:hAnsiTheme="minorEastAsia"/>
          <w:bCs/>
          <w:color w:val="000000" w:themeColor="text1"/>
          <w:szCs w:val="21"/>
          <w14:textFill>
            <w14:solidFill>
              <w14:schemeClr w14:val="tx1"/>
            </w14:solidFill>
          </w14:textFill>
        </w:rPr>
      </w:pPr>
      <w:bookmarkStart w:id="11" w:name="_GoBack"/>
      <w:bookmarkEnd w:id="11"/>
      <w:r>
        <w:rPr>
          <w:rFonts w:hint="eastAsia" w:asciiTheme="minorEastAsia" w:hAnsiTheme="minorEastAsia"/>
          <w:bCs/>
          <w:color w:val="000000" w:themeColor="text1"/>
          <w:szCs w:val="21"/>
          <w14:textFill>
            <w14:solidFill>
              <w14:schemeClr w14:val="tx1"/>
            </w14:solidFill>
          </w14:textFill>
        </w:rPr>
        <w:t>通过20</w:t>
      </w:r>
      <w:r>
        <w:rPr>
          <w:rFonts w:hint="eastAsia" w:asciiTheme="minorEastAsia" w:hAnsiTheme="minorEastAsia"/>
          <w:bCs/>
          <w:color w:val="000000" w:themeColor="text1"/>
          <w:szCs w:val="21"/>
          <w:lang w:val="en-US" w:eastAsia="zh-CN"/>
          <w14:textFill>
            <w14:solidFill>
              <w14:schemeClr w14:val="tx1"/>
            </w14:solidFill>
          </w14:textFill>
        </w:rPr>
        <w:t>22</w:t>
      </w:r>
      <w:r>
        <w:rPr>
          <w:rFonts w:hint="eastAsia" w:asciiTheme="minorEastAsia" w:hAnsiTheme="minorEastAsia"/>
          <w:bCs/>
          <w:color w:val="000000" w:themeColor="text1"/>
          <w:szCs w:val="21"/>
          <w14:textFill>
            <w14:solidFill>
              <w14:schemeClr w14:val="tx1"/>
            </w14:solidFill>
          </w14:textFill>
        </w:rPr>
        <w:t>年</w:t>
      </w:r>
      <w:r>
        <w:rPr>
          <w:rFonts w:hint="eastAsia" w:asciiTheme="minorEastAsia" w:hAnsiTheme="minorEastAsia"/>
          <w:bCs/>
          <w:color w:val="000000" w:themeColor="text1"/>
          <w:szCs w:val="21"/>
          <w:lang w:val="en-US" w:eastAsia="zh-CN"/>
          <w14:textFill>
            <w14:solidFill>
              <w14:schemeClr w14:val="tx1"/>
            </w14:solidFill>
          </w14:textFill>
        </w:rPr>
        <w:t>1</w:t>
      </w:r>
      <w:r>
        <w:rPr>
          <w:rFonts w:hint="eastAsia" w:asciiTheme="minorEastAsia" w:hAnsiTheme="minorEastAsia"/>
          <w:bCs/>
          <w:color w:val="000000" w:themeColor="text1"/>
          <w:szCs w:val="21"/>
          <w14:textFill>
            <w14:solidFill>
              <w14:schemeClr w14:val="tx1"/>
            </w14:solidFill>
          </w14:textFill>
        </w:rPr>
        <w:t>月</w:t>
      </w:r>
      <w:r>
        <w:rPr>
          <w:rFonts w:hint="eastAsia" w:asciiTheme="minorEastAsia" w:hAnsiTheme="minorEastAsia"/>
          <w:bCs/>
          <w:color w:val="000000" w:themeColor="text1"/>
          <w:szCs w:val="21"/>
          <w:lang w:val="en-US" w:eastAsia="zh-CN"/>
          <w14:textFill>
            <w14:solidFill>
              <w14:schemeClr w14:val="tx1"/>
            </w14:solidFill>
          </w14:textFill>
        </w:rPr>
        <w:t>24</w:t>
      </w:r>
      <w:r>
        <w:rPr>
          <w:rFonts w:hint="eastAsia" w:asciiTheme="minorEastAsia" w:hAnsiTheme="minorEastAsia"/>
          <w:bCs/>
          <w:color w:val="000000" w:themeColor="text1"/>
          <w:szCs w:val="21"/>
          <w14:textFill>
            <w14:solidFill>
              <w14:schemeClr w14:val="tx1"/>
            </w14:solidFill>
          </w14:textFill>
        </w:rPr>
        <w:t>日，对运城鑫工科技有限公司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w:t>
      </w:r>
      <w:r>
        <w:rPr>
          <w:rFonts w:hint="eastAsia" w:asciiTheme="minorEastAsia" w:hAnsiTheme="minorEastAsia"/>
          <w:bCs/>
          <w:color w:val="000000" w:themeColor="text1"/>
          <w:szCs w:val="21"/>
          <w:lang w:val="en-US" w:eastAsia="zh-CN"/>
          <w14:textFill>
            <w14:solidFill>
              <w14:schemeClr w14:val="tx1"/>
            </w14:solidFill>
          </w14:textFill>
        </w:rPr>
        <w:t>均满足要求</w:t>
      </w:r>
      <w:r>
        <w:rPr>
          <w:rFonts w:hint="eastAsia" w:asciiTheme="minorEastAsia" w:hAnsiTheme="minorEastAsia"/>
          <w:bCs/>
          <w:color w:val="000000" w:themeColor="text1"/>
          <w:szCs w:val="21"/>
          <w14:textFill>
            <w14:solidFill>
              <w14:schemeClr w14:val="tx1"/>
            </w14:solidFill>
          </w14:textFill>
        </w:rPr>
        <w:t>。综上所述，审核组认为运城鑫工科技有限公司测量管理体系，符合GB/T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1530985</wp:posOffset>
            </wp:positionH>
            <wp:positionV relativeFrom="paragraph">
              <wp:posOffset>207010</wp:posOffset>
            </wp:positionV>
            <wp:extent cx="469900" cy="361315"/>
            <wp:effectExtent l="0" t="0" r="0" b="698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69900" cy="361315"/>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2022.1.24</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1CE3C"/>
    <w:multiLevelType w:val="singleLevel"/>
    <w:tmpl w:val="2631CE3C"/>
    <w:lvl w:ilvl="0" w:tentative="0">
      <w:start w:val="5"/>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E071B4"/>
    <w:rsid w:val="17DC0AD7"/>
    <w:rsid w:val="3F653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2022-02-12T16:33:51Z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D819B485A413476989473EEB89730B1B</vt:lpwstr>
  </property>
</Properties>
</file>