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952"/>
        <w:gridCol w:w="761"/>
        <w:gridCol w:w="9367"/>
        <w:gridCol w:w="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44"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5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28" w:type="dxa"/>
            <w:gridSpan w:val="2"/>
            <w:vAlign w:val="center"/>
          </w:tcPr>
          <w:p>
            <w:pPr>
              <w:rPr>
                <w:sz w:val="24"/>
                <w:szCs w:val="24"/>
              </w:rPr>
            </w:pPr>
            <w:r>
              <w:rPr>
                <w:rFonts w:hint="eastAsia"/>
                <w:sz w:val="24"/>
                <w:szCs w:val="24"/>
              </w:rPr>
              <w:t xml:space="preserve">受审核部门：领导层 </w:t>
            </w:r>
            <w:r>
              <w:rPr>
                <w:sz w:val="24"/>
                <w:szCs w:val="24"/>
              </w:rPr>
              <w:t xml:space="preserve">    </w:t>
            </w:r>
            <w:r>
              <w:rPr>
                <w:rFonts w:hint="eastAsia"/>
                <w:sz w:val="24"/>
                <w:szCs w:val="24"/>
                <w:lang w:val="en-US" w:eastAsia="zh-CN"/>
              </w:rPr>
              <w:t>负责人：陈成吉</w:t>
            </w:r>
            <w:r>
              <w:rPr>
                <w:sz w:val="24"/>
                <w:szCs w:val="24"/>
              </w:rPr>
              <w:t xml:space="preserve">         </w:t>
            </w:r>
            <w:r>
              <w:rPr>
                <w:rFonts w:hint="eastAsia"/>
                <w:sz w:val="24"/>
                <w:szCs w:val="24"/>
              </w:rPr>
              <w:t>陪同人员：</w:t>
            </w:r>
            <w:r>
              <w:rPr>
                <w:sz w:val="24"/>
                <w:szCs w:val="24"/>
              </w:rPr>
              <w:t>林爱梅</w:t>
            </w:r>
          </w:p>
        </w:tc>
        <w:tc>
          <w:tcPr>
            <w:tcW w:w="1590"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44" w:type="dxa"/>
            <w:vMerge w:val="continue"/>
            <w:vAlign w:val="center"/>
          </w:tcPr>
          <w:p/>
        </w:tc>
        <w:tc>
          <w:tcPr>
            <w:tcW w:w="952" w:type="dxa"/>
            <w:vMerge w:val="continue"/>
            <w:vAlign w:val="center"/>
          </w:tcPr>
          <w:p/>
        </w:tc>
        <w:tc>
          <w:tcPr>
            <w:tcW w:w="10128" w:type="dxa"/>
            <w:gridSpan w:val="2"/>
            <w:vAlign w:val="center"/>
          </w:tcPr>
          <w:p>
            <w:pPr>
              <w:spacing w:before="120"/>
              <w:rPr>
                <w:rFonts w:hint="default" w:eastAsia="宋体"/>
                <w:lang w:val="en-US" w:eastAsia="zh-CN"/>
              </w:rPr>
            </w:pPr>
            <w:r>
              <w:rPr>
                <w:rFonts w:hint="eastAsia"/>
                <w:sz w:val="24"/>
                <w:szCs w:val="24"/>
              </w:rPr>
              <w:t>审核员：肖新龙</w:t>
            </w:r>
            <w:r>
              <w:rPr>
                <w:rFonts w:hint="eastAsia"/>
                <w:sz w:val="24"/>
                <w:szCs w:val="24"/>
                <w:lang w:val="en-US" w:eastAsia="zh-CN"/>
              </w:rPr>
              <w:t xml:space="preserve"> </w:t>
            </w:r>
            <w:r>
              <w:rPr>
                <w:sz w:val="24"/>
                <w:szCs w:val="24"/>
              </w:rPr>
              <w:t xml:space="preserve">       </w:t>
            </w:r>
            <w:r>
              <w:rPr>
                <w:rFonts w:hint="eastAsia"/>
                <w:sz w:val="24"/>
                <w:szCs w:val="24"/>
              </w:rPr>
              <w:t xml:space="preserve">          审核日期：202</w:t>
            </w:r>
            <w:r>
              <w:rPr>
                <w:rFonts w:hint="eastAsia"/>
                <w:sz w:val="24"/>
                <w:szCs w:val="24"/>
                <w:lang w:val="en-US" w:eastAsia="zh-CN"/>
              </w:rPr>
              <w:t>2-02-14</w:t>
            </w:r>
          </w:p>
        </w:tc>
        <w:tc>
          <w:tcPr>
            <w:tcW w:w="1590"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44" w:type="dxa"/>
            <w:vMerge w:val="continue"/>
            <w:vAlign w:val="center"/>
          </w:tcPr>
          <w:p/>
        </w:tc>
        <w:tc>
          <w:tcPr>
            <w:tcW w:w="952" w:type="dxa"/>
            <w:vMerge w:val="continue"/>
            <w:vAlign w:val="center"/>
          </w:tcPr>
          <w:p/>
        </w:tc>
        <w:tc>
          <w:tcPr>
            <w:tcW w:w="10128" w:type="dxa"/>
            <w:gridSpan w:val="2"/>
            <w:vAlign w:val="center"/>
          </w:tcPr>
          <w:p>
            <w:pPr>
              <w:spacing w:before="120"/>
              <w:rPr>
                <w:sz w:val="24"/>
                <w:szCs w:val="24"/>
              </w:rPr>
            </w:pPr>
            <w:r>
              <w:rPr>
                <w:rFonts w:hint="eastAsia"/>
                <w:sz w:val="24"/>
                <w:szCs w:val="24"/>
              </w:rPr>
              <w:t>审核条款：FSMS：4.1/4.2/4.3/4.4/5.1/5.2/5.3/6.1/6.2/6.3/7.1.1/7.4/9.1.1/9.3/10.2</w:t>
            </w:r>
          </w:p>
        </w:tc>
        <w:tc>
          <w:tcPr>
            <w:tcW w:w="1590"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4" w:type="dxa"/>
            <w:vMerge w:val="restart"/>
          </w:tcPr>
          <w:p>
            <w:r>
              <w:rPr>
                <w:rFonts w:hint="eastAsia"/>
              </w:rPr>
              <w:t>理解组织及其所处的环境</w:t>
            </w:r>
          </w:p>
        </w:tc>
        <w:tc>
          <w:tcPr>
            <w:tcW w:w="952" w:type="dxa"/>
            <w:vMerge w:val="restart"/>
          </w:tcPr>
          <w:p>
            <w:r>
              <w:rPr>
                <w:rFonts w:hint="eastAsia"/>
              </w:rPr>
              <w:t xml:space="preserve">F4.1 </w:t>
            </w:r>
          </w:p>
        </w:tc>
        <w:tc>
          <w:tcPr>
            <w:tcW w:w="761" w:type="dxa"/>
          </w:tcPr>
          <w:p>
            <w:r>
              <w:rPr>
                <w:rFonts w:hint="eastAsia"/>
              </w:rPr>
              <w:t>文件名称</w:t>
            </w:r>
          </w:p>
        </w:tc>
        <w:tc>
          <w:tcPr>
            <w:tcW w:w="9367" w:type="dxa"/>
          </w:tcPr>
          <w:p>
            <w:r>
              <w:rPr>
                <w:rFonts w:hint="eastAsia"/>
              </w:rPr>
              <w:t>如：☑管理手册第4.1条款、</w:t>
            </w:r>
            <w:r>
              <w:rPr>
                <w:rFonts w:hint="eastAsia"/>
              </w:rPr>
              <w:sym w:font="Wingdings" w:char="00FE"/>
            </w:r>
            <w:r>
              <w:rPr>
                <w:rFonts w:hint="eastAsia"/>
              </w:rPr>
              <w:t>《组织及其环境控制程序》</w:t>
            </w:r>
          </w:p>
        </w:tc>
        <w:tc>
          <w:tcPr>
            <w:tcW w:w="1590" w:type="dxa"/>
            <w:gridSpan w:val="2"/>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044" w:type="dxa"/>
            <w:vMerge w:val="continue"/>
          </w:tcPr>
          <w:p/>
        </w:tc>
        <w:tc>
          <w:tcPr>
            <w:tcW w:w="952" w:type="dxa"/>
            <w:vMerge w:val="continue"/>
          </w:tcPr>
          <w:p/>
        </w:tc>
        <w:tc>
          <w:tcPr>
            <w:tcW w:w="761" w:type="dxa"/>
          </w:tcPr>
          <w:p>
            <w:r>
              <w:rPr>
                <w:rFonts w:hint="eastAsia"/>
              </w:rPr>
              <w:t>运行证据</w:t>
            </w:r>
          </w:p>
        </w:tc>
        <w:tc>
          <w:tcPr>
            <w:tcW w:w="9367" w:type="dxa"/>
          </w:tcPr>
          <w:p>
            <w:pPr>
              <w:rPr>
                <w:color w:val="000000"/>
                <w:szCs w:val="21"/>
              </w:rPr>
            </w:pPr>
            <w:r>
              <w:rPr>
                <w:rFonts w:hint="eastAsia"/>
                <w:color w:val="000000"/>
                <w:szCs w:val="21"/>
              </w:rPr>
              <w:t xml:space="preserve"> 与最高管理者沟通：</w:t>
            </w:r>
          </w:p>
          <w:p>
            <w:pPr>
              <w:rPr>
                <w:color w:val="000000"/>
                <w:szCs w:val="21"/>
              </w:rPr>
            </w:pPr>
            <w:r>
              <w:rPr>
                <w:rFonts w:hint="eastAsia"/>
                <w:color w:val="000000"/>
                <w:szCs w:val="21"/>
              </w:rPr>
              <w:t>组织的环境：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6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tcPr>
                <w:p>
                  <w:pPr>
                    <w:rPr>
                      <w:rFonts w:asciiTheme="minorEastAsia" w:hAnsiTheme="minorEastAsia" w:eastAsiaTheme="minorEastAsia"/>
                      <w:szCs w:val="21"/>
                    </w:rPr>
                  </w:pPr>
                  <w:r>
                    <w:rPr>
                      <w:rFonts w:hint="eastAsia" w:asciiTheme="minorEastAsia" w:hAnsiTheme="minorEastAsia" w:eastAsiaTheme="minorEastAsia"/>
                      <w:szCs w:val="21"/>
                    </w:rPr>
                    <w:t>外部环境</w:t>
                  </w:r>
                </w:p>
              </w:tc>
              <w:tc>
                <w:tcPr>
                  <w:tcW w:w="6603" w:type="dxa"/>
                </w:tcPr>
                <w:p>
                  <w:pPr>
                    <w:rPr>
                      <w:rFonts w:asciiTheme="minorEastAsia" w:hAnsiTheme="minorEastAsia" w:eastAsiaTheme="minorEastAsia"/>
                      <w:szCs w:val="21"/>
                    </w:rPr>
                  </w:pPr>
                  <w:r>
                    <w:rPr>
                      <w:rFonts w:ascii="Segoe UI Symbol" w:hAnsi="Segoe UI Symbol" w:cs="Segoe UI Symbol" w:eastAsiaTheme="minorEastAsia"/>
                      <w:szCs w:val="21"/>
                    </w:rPr>
                    <w:t>☑</w:t>
                  </w:r>
                  <w:r>
                    <w:rPr>
                      <w:rFonts w:hint="eastAsia" w:ascii="宋体" w:hAnsi="宋体" w:cs="宋体"/>
                      <w:szCs w:val="21"/>
                    </w:rPr>
                    <w:t>法律法规</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技术</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竞争</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市场</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文化</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社会</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经济环境</w:t>
                  </w:r>
                  <w:r>
                    <w:rPr>
                      <w:rFonts w:hint="eastAsia" w:asciiTheme="minorEastAsia" w:hAnsiTheme="minorEastAsia" w:eastAsiaTheme="minorEastAsia"/>
                      <w:szCs w:val="21"/>
                    </w:rPr>
                    <w:t xml:space="preserve"> □网络安全</w:t>
                  </w:r>
                  <w:r>
                    <w:rPr>
                      <w:rFonts w:ascii="Segoe UI Symbol" w:hAnsi="Segoe UI Symbol" w:cs="Segoe UI Symbol" w:eastAsiaTheme="minorEastAsia"/>
                      <w:szCs w:val="21"/>
                    </w:rPr>
                    <w:t>☑</w:t>
                  </w:r>
                  <w:r>
                    <w:rPr>
                      <w:rFonts w:hint="eastAsia" w:asciiTheme="minorEastAsia" w:hAnsiTheme="minorEastAsia" w:eastAsiaTheme="minorEastAsia"/>
                      <w:szCs w:val="21"/>
                    </w:rPr>
                    <w:t xml:space="preserve">食品欺诈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食品防护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蓄意污染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tcPr>
                <w:p>
                  <w:pPr>
                    <w:rPr>
                      <w:rFonts w:asciiTheme="minorEastAsia" w:hAnsiTheme="minorEastAsia" w:eastAsiaTheme="minorEastAsia"/>
                      <w:szCs w:val="21"/>
                    </w:rPr>
                  </w:pPr>
                  <w:r>
                    <w:rPr>
                      <w:rFonts w:hint="eastAsia" w:asciiTheme="minorEastAsia" w:hAnsiTheme="minorEastAsia" w:eastAsiaTheme="minorEastAsia"/>
                      <w:szCs w:val="21"/>
                    </w:rPr>
                    <w:t>列举主要的内容</w:t>
                  </w:r>
                </w:p>
              </w:tc>
              <w:tc>
                <w:tcPr>
                  <w:tcW w:w="6603"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受疫情影响出口运费增加很高、海运货柜较难预定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tcPr>
                <w:p>
                  <w:pPr>
                    <w:rPr>
                      <w:rFonts w:asciiTheme="minorEastAsia" w:hAnsiTheme="minorEastAsia" w:eastAsiaTheme="minorEastAsia"/>
                      <w:szCs w:val="21"/>
                    </w:rPr>
                  </w:pPr>
                  <w:r>
                    <w:rPr>
                      <w:rFonts w:hint="eastAsia" w:asciiTheme="minorEastAsia" w:hAnsiTheme="minorEastAsia" w:eastAsiaTheme="minorEastAsia"/>
                      <w:szCs w:val="21"/>
                    </w:rPr>
                    <w:t>内部环境</w:t>
                  </w:r>
                </w:p>
              </w:tc>
              <w:tc>
                <w:tcPr>
                  <w:tcW w:w="6603" w:type="dxa"/>
                </w:tcPr>
                <w:p>
                  <w:pPr>
                    <w:rPr>
                      <w:rFonts w:asciiTheme="minorEastAsia" w:hAnsiTheme="minorEastAsia" w:eastAsiaTheme="minorEastAsia"/>
                      <w:szCs w:val="21"/>
                    </w:rPr>
                  </w:pPr>
                  <w:r>
                    <w:rPr>
                      <w:rFonts w:ascii="Segoe UI Symbol" w:hAnsi="Segoe UI Symbol" w:cs="Segoe UI Symbol" w:eastAsiaTheme="minorEastAsia"/>
                      <w:szCs w:val="21"/>
                    </w:rPr>
                    <w:t>☑</w:t>
                  </w:r>
                  <w:r>
                    <w:rPr>
                      <w:rFonts w:hint="eastAsia" w:ascii="宋体" w:hAnsi="宋体" w:cs="宋体"/>
                      <w:szCs w:val="21"/>
                    </w:rPr>
                    <w:t>价值观</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文化</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知识 □绩效 </w:t>
                  </w:r>
                  <w:r>
                    <w:rPr>
                      <w:rFonts w:ascii="Segoe UI Symbol" w:hAnsi="Segoe UI Symbol" w:cs="Segoe UI Symbol" w:eastAsiaTheme="minorEastAsia"/>
                      <w:szCs w:val="21"/>
                    </w:rPr>
                    <w:t>☑</w:t>
                  </w:r>
                  <w:r>
                    <w:rPr>
                      <w:rFonts w:hint="eastAsia" w:ascii="宋体" w:hAnsi="宋体" w:cs="宋体"/>
                      <w:szCs w:val="21"/>
                    </w:rPr>
                    <w:t>工艺</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设备</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人员能力</w:t>
                  </w:r>
                  <w:r>
                    <w:rPr>
                      <w:rFonts w:hint="eastAsia" w:asciiTheme="minorEastAsia" w:hAnsiTheme="minorEastAsia" w:eastAsiaTheme="minorEastAsia"/>
                      <w:szCs w:val="21"/>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9" w:type="dxa"/>
                </w:tcPr>
                <w:p>
                  <w:pPr>
                    <w:rPr>
                      <w:rFonts w:asciiTheme="minorEastAsia" w:hAnsiTheme="minorEastAsia" w:eastAsiaTheme="minorEastAsia"/>
                      <w:szCs w:val="21"/>
                    </w:rPr>
                  </w:pPr>
                  <w:r>
                    <w:rPr>
                      <w:rFonts w:hint="eastAsia" w:asciiTheme="minorEastAsia" w:hAnsiTheme="minorEastAsia" w:eastAsiaTheme="minorEastAsia"/>
                      <w:szCs w:val="21"/>
                    </w:rPr>
                    <w:t>列举主要的内容</w:t>
                  </w:r>
                </w:p>
              </w:tc>
              <w:tc>
                <w:tcPr>
                  <w:tcW w:w="6603"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核心员工较稳定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9" w:type="dxa"/>
                </w:tcPr>
                <w:p>
                  <w:pPr>
                    <w:rPr>
                      <w:rFonts w:asciiTheme="minorEastAsia" w:hAnsiTheme="minorEastAsia" w:eastAsiaTheme="minorEastAsia"/>
                      <w:szCs w:val="21"/>
                    </w:rPr>
                  </w:pPr>
                  <w:r>
                    <w:rPr>
                      <w:rFonts w:hint="eastAsia" w:asciiTheme="minorEastAsia" w:hAnsiTheme="minorEastAsia" w:eastAsiaTheme="minorEastAsia"/>
                      <w:szCs w:val="21"/>
                    </w:rPr>
                    <w:t>组织优势说明</w:t>
                  </w:r>
                </w:p>
              </w:tc>
              <w:tc>
                <w:tcPr>
                  <w:tcW w:w="6603"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起点高、面对国内外中高端客户群体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tcPr>
                <w:p>
                  <w:pPr>
                    <w:rPr>
                      <w:rFonts w:asciiTheme="minorEastAsia" w:hAnsiTheme="minorEastAsia" w:eastAsiaTheme="minorEastAsia"/>
                      <w:szCs w:val="21"/>
                    </w:rPr>
                  </w:pPr>
                  <w:r>
                    <w:rPr>
                      <w:rFonts w:hint="eastAsia" w:asciiTheme="minorEastAsia" w:hAnsiTheme="minorEastAsia" w:eastAsiaTheme="minorEastAsia"/>
                      <w:szCs w:val="21"/>
                    </w:rPr>
                    <w:t>组织劣势说明</w:t>
                  </w:r>
                </w:p>
              </w:tc>
              <w:tc>
                <w:tcPr>
                  <w:tcW w:w="6603" w:type="dxa"/>
                </w:tcPr>
                <w:p>
                  <w:pPr>
                    <w:rPr>
                      <w:rFonts w:hint="default" w:asciiTheme="minorEastAsia" w:hAnsiTheme="minorEastAsia" w:eastAsiaTheme="minorEastAsia"/>
                      <w:szCs w:val="21"/>
                    </w:rPr>
                  </w:pPr>
                  <w:r>
                    <w:rPr>
                      <w:rFonts w:hint="default" w:asciiTheme="minorEastAsia" w:hAnsiTheme="minorEastAsia" w:eastAsiaTheme="minorEastAsia"/>
                      <w:szCs w:val="21"/>
                    </w:rPr>
                    <w:t>受疫情影响、普通工人招聘较难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tcPr>
                <w:p>
                  <w:pPr>
                    <w:rPr>
                      <w:rFonts w:asciiTheme="minorEastAsia" w:hAnsiTheme="minorEastAsia" w:eastAsiaTheme="minorEastAsia"/>
                      <w:szCs w:val="21"/>
                    </w:rPr>
                  </w:pPr>
                  <w:r>
                    <w:rPr>
                      <w:rFonts w:hint="eastAsia" w:asciiTheme="minorEastAsia" w:hAnsiTheme="minorEastAsia" w:eastAsiaTheme="minorEastAsia"/>
                      <w:szCs w:val="21"/>
                    </w:rPr>
                    <w:t>主要风险的说明</w:t>
                  </w:r>
                </w:p>
              </w:tc>
              <w:tc>
                <w:tcPr>
                  <w:tcW w:w="6603" w:type="dxa"/>
                </w:tcPr>
                <w:p>
                  <w:pPr>
                    <w:rPr>
                      <w:rFonts w:hint="default" w:asciiTheme="minorEastAsia" w:hAnsiTheme="minorEastAsia" w:eastAsiaTheme="minorEastAsia"/>
                      <w:szCs w:val="21"/>
                    </w:rPr>
                  </w:pPr>
                  <w:r>
                    <w:rPr>
                      <w:rFonts w:hint="default" w:asciiTheme="minorEastAsia" w:hAnsiTheme="minorEastAsia" w:eastAsiaTheme="minorEastAsia"/>
                      <w:szCs w:val="21"/>
                    </w:rPr>
                    <w:t>海运货柜较难预定、产品生产后出不去，抛货占空间较大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tcPr>
                <w:p>
                  <w:pPr>
                    <w:rPr>
                      <w:szCs w:val="22"/>
                    </w:rPr>
                  </w:pPr>
                  <w:r>
                    <w:rPr>
                      <w:rFonts w:hint="eastAsia"/>
                      <w:szCs w:val="22"/>
                    </w:rPr>
                    <w:t>机遇的说明</w:t>
                  </w:r>
                </w:p>
              </w:tc>
              <w:tc>
                <w:tcPr>
                  <w:tcW w:w="6603" w:type="dxa"/>
                </w:tcPr>
                <w:p>
                  <w:pPr>
                    <w:rPr>
                      <w:rFonts w:hint="default"/>
                      <w:szCs w:val="22"/>
                    </w:rPr>
                  </w:pPr>
                  <w:r>
                    <w:rPr>
                      <w:rFonts w:hint="default"/>
                      <w:szCs w:val="22"/>
                    </w:rPr>
                    <w:t>通过建立ISO22000:2018、BRC等体系，提升产品安全性管理，开拓试样</w:t>
                  </w:r>
                </w:p>
              </w:tc>
            </w:tr>
          </w:tbl>
          <w:p>
            <w:pPr>
              <w:rPr>
                <w:color w:val="000000"/>
                <w:szCs w:val="21"/>
              </w:rPr>
            </w:pPr>
          </w:p>
          <w:p>
            <w:pPr>
              <w:rPr>
                <w:color w:val="000000"/>
                <w:szCs w:val="21"/>
              </w:rPr>
            </w:pPr>
            <w:r>
              <w:rPr>
                <w:rFonts w:hint="eastAsia"/>
                <w:color w:val="000000"/>
                <w:szCs w:val="21"/>
              </w:rPr>
              <w:t>主要证据体现在</w:t>
            </w:r>
            <w:r>
              <w:rPr>
                <w:rFonts w:hint="eastAsia"/>
              </w:rPr>
              <w:t xml:space="preserve"> </w:t>
            </w:r>
            <w:r>
              <w:rPr>
                <w:rFonts w:hint="eastAsia"/>
              </w:rPr>
              <w:sym w:font="Wingdings" w:char="00A8"/>
            </w:r>
            <w:r>
              <w:rPr>
                <w:rFonts w:hint="eastAsia"/>
              </w:rPr>
              <w:t xml:space="preserve">《组织及其环境分析表》  </w:t>
            </w:r>
            <w:r>
              <w:rPr>
                <w:rFonts w:hint="eastAsia"/>
              </w:rPr>
              <w:sym w:font="Wingdings" w:char="00A8"/>
            </w:r>
            <w:r>
              <w:rPr>
                <w:rFonts w:hint="eastAsia"/>
              </w:rPr>
              <w:t xml:space="preserve">《年度业务计划》 </w:t>
            </w:r>
            <w:r>
              <w:rPr>
                <w:rFonts w:hint="eastAsia"/>
              </w:rPr>
              <w:sym w:font="Wingdings" w:char="00A8"/>
            </w:r>
            <w:r>
              <w:rPr>
                <w:rFonts w:hint="eastAsia"/>
              </w:rPr>
              <w:t xml:space="preserve">其他《风险和机遇评估分析及措施表》、 </w:t>
            </w:r>
            <w:r>
              <w:rPr>
                <w:rFonts w:hint="eastAsia"/>
              </w:rPr>
              <w:sym w:font="Wingdings" w:char="00FE"/>
            </w:r>
            <w:r>
              <w:rPr>
                <w:rFonts w:hint="eastAsia"/>
              </w:rPr>
              <w:t>《内外部环境分析识别表》</w:t>
            </w:r>
          </w:p>
        </w:tc>
        <w:tc>
          <w:tcPr>
            <w:tcW w:w="1590"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4" w:type="dxa"/>
            <w:vMerge w:val="restart"/>
          </w:tcPr>
          <w:p>
            <w:r>
              <w:rPr>
                <w:rFonts w:hint="eastAsia"/>
              </w:rPr>
              <w:t>理解相关方的需求和期望</w:t>
            </w:r>
          </w:p>
        </w:tc>
        <w:tc>
          <w:tcPr>
            <w:tcW w:w="952" w:type="dxa"/>
            <w:vMerge w:val="restart"/>
          </w:tcPr>
          <w:p>
            <w:r>
              <w:rPr>
                <w:rFonts w:hint="eastAsia"/>
              </w:rPr>
              <w:t xml:space="preserve">F4.2 </w:t>
            </w:r>
          </w:p>
        </w:tc>
        <w:tc>
          <w:tcPr>
            <w:tcW w:w="761" w:type="dxa"/>
          </w:tcPr>
          <w:p>
            <w:r>
              <w:rPr>
                <w:rFonts w:hint="eastAsia"/>
              </w:rPr>
              <w:t>文件名称</w:t>
            </w:r>
          </w:p>
        </w:tc>
        <w:tc>
          <w:tcPr>
            <w:tcW w:w="9367" w:type="dxa"/>
          </w:tcPr>
          <w:p>
            <w:r>
              <w:rPr>
                <w:rFonts w:hint="eastAsia"/>
              </w:rPr>
              <w:t>如：</w:t>
            </w:r>
            <w:r>
              <w:rPr>
                <w:rFonts w:hint="eastAsia"/>
                <w:szCs w:val="22"/>
              </w:rPr>
              <w:sym w:font="Wingdings" w:char="00FE"/>
            </w:r>
            <w:r>
              <w:rPr>
                <w:rFonts w:hint="eastAsia"/>
                <w:szCs w:val="22"/>
              </w:rPr>
              <w:t>《相关方需求和期望控制程序》</w:t>
            </w:r>
            <w:r>
              <w:rPr>
                <w:rFonts w:hint="eastAsia"/>
              </w:rPr>
              <w:t xml:space="preserve">、 </w:t>
            </w:r>
            <w:r>
              <w:rPr>
                <w:rFonts w:hint="eastAsia"/>
              </w:rPr>
              <w:sym w:font="Wingdings" w:char="00FE"/>
            </w:r>
            <w:r>
              <w:rPr>
                <w:rFonts w:hint="eastAsia"/>
              </w:rPr>
              <w:t>管理手册第4.2章</w:t>
            </w:r>
          </w:p>
        </w:tc>
        <w:tc>
          <w:tcPr>
            <w:tcW w:w="1590" w:type="dxa"/>
            <w:gridSpan w:val="2"/>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44" w:type="dxa"/>
            <w:vMerge w:val="continue"/>
          </w:tcPr>
          <w:p/>
        </w:tc>
        <w:tc>
          <w:tcPr>
            <w:tcW w:w="952" w:type="dxa"/>
            <w:vMerge w:val="continue"/>
          </w:tcPr>
          <w:p/>
        </w:tc>
        <w:tc>
          <w:tcPr>
            <w:tcW w:w="761" w:type="dxa"/>
          </w:tcPr>
          <w:p>
            <w:r>
              <w:rPr>
                <w:rFonts w:hint="eastAsia"/>
              </w:rPr>
              <w:t>运行证据</w:t>
            </w:r>
          </w:p>
        </w:tc>
        <w:tc>
          <w:tcPr>
            <w:tcW w:w="9367" w:type="dxa"/>
          </w:tcPr>
          <w:p>
            <w:pPr>
              <w:rPr>
                <w:color w:val="000000"/>
                <w:szCs w:val="21"/>
              </w:rPr>
            </w:pPr>
            <w:r>
              <w:rPr>
                <w:rFonts w:hint="eastAsia"/>
                <w:color w:val="000000"/>
                <w:szCs w:val="21"/>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117"/>
              <w:gridCol w:w="3989"/>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 w:val="18"/>
                      <w:szCs w:val="18"/>
                      <w:highlight w:val="cyan"/>
                    </w:rPr>
                  </w:pPr>
                  <w:r>
                    <w:rPr>
                      <w:rFonts w:hint="eastAsia"/>
                      <w:sz w:val="18"/>
                      <w:szCs w:val="18"/>
                    </w:rPr>
                    <w:t>重要的相关方</w:t>
                  </w:r>
                </w:p>
              </w:tc>
              <w:tc>
                <w:tcPr>
                  <w:tcW w:w="2117" w:type="dxa"/>
                </w:tcPr>
                <w:p>
                  <w:pPr>
                    <w:rPr>
                      <w:sz w:val="18"/>
                      <w:szCs w:val="18"/>
                      <w:highlight w:val="cyan"/>
                    </w:rPr>
                  </w:pPr>
                  <w:r>
                    <w:rPr>
                      <w:rFonts w:hint="eastAsia"/>
                      <w:sz w:val="18"/>
                      <w:szCs w:val="18"/>
                    </w:rPr>
                    <w:t>相关方名称举例</w:t>
                  </w:r>
                </w:p>
              </w:tc>
              <w:tc>
                <w:tcPr>
                  <w:tcW w:w="3989" w:type="dxa"/>
                </w:tcPr>
                <w:p>
                  <w:pPr>
                    <w:rPr>
                      <w:sz w:val="18"/>
                      <w:szCs w:val="18"/>
                      <w:highlight w:val="cyan"/>
                    </w:rPr>
                  </w:pPr>
                  <w:r>
                    <w:rPr>
                      <w:rFonts w:hint="eastAsia"/>
                      <w:sz w:val="18"/>
                      <w:szCs w:val="18"/>
                    </w:rPr>
                    <w:t>重要的相关方需求和希望（不必全选）</w:t>
                  </w:r>
                </w:p>
              </w:tc>
              <w:tc>
                <w:tcPr>
                  <w:tcW w:w="1324" w:type="dxa"/>
                </w:tcPr>
                <w:p>
                  <w:pPr>
                    <w:rPr>
                      <w:sz w:val="18"/>
                      <w:szCs w:val="18"/>
                    </w:rPr>
                  </w:pPr>
                  <w:r>
                    <w:rPr>
                      <w:rFonts w:hint="eastAsia"/>
                      <w:sz w:val="18"/>
                      <w:szCs w:val="18"/>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 w:val="18"/>
                      <w:szCs w:val="18"/>
                    </w:rPr>
                  </w:pPr>
                  <w:r>
                    <w:rPr>
                      <w:rFonts w:hint="eastAsia"/>
                      <w:sz w:val="18"/>
                      <w:szCs w:val="18"/>
                    </w:rPr>
                    <w:sym w:font="Wingdings 2" w:char="0052"/>
                  </w:r>
                  <w:r>
                    <w:rPr>
                      <w:rFonts w:hint="eastAsia"/>
                      <w:sz w:val="18"/>
                      <w:szCs w:val="18"/>
                    </w:rPr>
                    <w:t>主管部门</w:t>
                  </w:r>
                </w:p>
              </w:tc>
              <w:tc>
                <w:tcPr>
                  <w:tcW w:w="2117" w:type="dxa"/>
                </w:tcPr>
                <w:p>
                  <w:pPr>
                    <w:rPr>
                      <w:sz w:val="18"/>
                      <w:szCs w:val="18"/>
                    </w:rPr>
                  </w:pPr>
                  <w:r>
                    <w:rPr>
                      <w:rFonts w:hint="eastAsia"/>
                      <w:sz w:val="18"/>
                      <w:szCs w:val="18"/>
                    </w:rPr>
                    <w:t>厦</w:t>
                  </w:r>
                  <w:r>
                    <w:rPr>
                      <w:sz w:val="18"/>
                      <w:szCs w:val="18"/>
                    </w:rPr>
                    <w:t>门市场监</w:t>
                  </w:r>
                  <w:r>
                    <w:rPr>
                      <w:rFonts w:hint="eastAsia"/>
                      <w:sz w:val="18"/>
                      <w:szCs w:val="18"/>
                    </w:rPr>
                    <w:t>督</w:t>
                  </w:r>
                  <w:r>
                    <w:rPr>
                      <w:sz w:val="18"/>
                      <w:szCs w:val="18"/>
                    </w:rPr>
                    <w:t>管理</w:t>
                  </w:r>
                  <w:r>
                    <w:rPr>
                      <w:rFonts w:hint="eastAsia"/>
                      <w:sz w:val="18"/>
                      <w:szCs w:val="18"/>
                    </w:rPr>
                    <w:t>局</w:t>
                  </w:r>
                </w:p>
              </w:tc>
              <w:tc>
                <w:tcPr>
                  <w:tcW w:w="3989" w:type="dxa"/>
                </w:tcPr>
                <w:p>
                  <w:pPr>
                    <w:rPr>
                      <w:sz w:val="18"/>
                      <w:szCs w:val="18"/>
                    </w:rPr>
                  </w:pPr>
                  <w:r>
                    <w:rPr>
                      <w:rFonts w:hint="eastAsia"/>
                      <w:sz w:val="18"/>
                      <w:szCs w:val="18"/>
                    </w:rPr>
                    <w:t>☑遵守食品安全相关的法律法规</w:t>
                  </w:r>
                </w:p>
                <w:p>
                  <w:pPr>
                    <w:rPr>
                      <w:sz w:val="18"/>
                      <w:szCs w:val="18"/>
                    </w:rPr>
                  </w:pPr>
                  <w:r>
                    <w:rPr>
                      <w:rFonts w:hint="eastAsia"/>
                      <w:sz w:val="18"/>
                      <w:szCs w:val="18"/>
                    </w:rPr>
                    <w:t>□</w:t>
                  </w:r>
                </w:p>
              </w:tc>
              <w:tc>
                <w:tcPr>
                  <w:tcW w:w="1324" w:type="dxa"/>
                </w:tcPr>
                <w:p>
                  <w:pPr>
                    <w:rPr>
                      <w:sz w:val="18"/>
                      <w:szCs w:val="18"/>
                    </w:rPr>
                  </w:pPr>
                  <w:r>
                    <w:rPr>
                      <w:rFonts w:hint="eastAsia"/>
                      <w:sz w:val="18"/>
                      <w:szCs w:val="18"/>
                    </w:rPr>
                    <w:sym w:font="Wingdings" w:char="00FE"/>
                  </w:r>
                  <w:r>
                    <w:rPr>
                      <w:rFonts w:hint="eastAsia"/>
                      <w:sz w:val="18"/>
                      <w:szCs w:val="18"/>
                    </w:rPr>
                    <w:t xml:space="preserve">是  </w:t>
                  </w:r>
                  <w:r>
                    <w:rPr>
                      <w:rFonts w:hint="eastAsia"/>
                      <w:sz w:val="18"/>
                      <w:szCs w:val="18"/>
                    </w:rPr>
                    <w:sym w:font="Wingdings" w:char="00A8"/>
                  </w:r>
                  <w:r>
                    <w:rPr>
                      <w:rFonts w:hint="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 w:val="18"/>
                      <w:szCs w:val="18"/>
                    </w:rPr>
                  </w:pPr>
                  <w:r>
                    <w:rPr>
                      <w:rFonts w:hint="eastAsia"/>
                      <w:sz w:val="18"/>
                      <w:szCs w:val="18"/>
                    </w:rPr>
                    <w:sym w:font="Wingdings 2" w:char="0052"/>
                  </w:r>
                  <w:r>
                    <w:rPr>
                      <w:rFonts w:hint="eastAsia"/>
                      <w:sz w:val="18"/>
                      <w:szCs w:val="18"/>
                    </w:rPr>
                    <w:t>供方</w:t>
                  </w:r>
                </w:p>
              </w:tc>
              <w:tc>
                <w:tcPr>
                  <w:tcW w:w="2117" w:type="dxa"/>
                </w:tcPr>
                <w:p>
                  <w:pPr>
                    <w:rPr>
                      <w:rFonts w:hint="default" w:ascii="宋体" w:hAnsi="宋体" w:eastAsia="宋体" w:cs="宋体"/>
                      <w:bCs/>
                      <w:color w:val="000000"/>
                      <w:kern w:val="0"/>
                      <w:sz w:val="18"/>
                      <w:szCs w:val="18"/>
                      <w:lang w:val="en-US" w:eastAsia="zh-CN"/>
                    </w:rPr>
                  </w:pPr>
                  <w:r>
                    <w:rPr>
                      <w:rFonts w:hint="eastAsia"/>
                      <w:bCs/>
                      <w:sz w:val="18"/>
                      <w:szCs w:val="18"/>
                    </w:rPr>
                    <w:t>厦</w:t>
                  </w:r>
                  <w:r>
                    <w:rPr>
                      <w:rFonts w:hint="eastAsia"/>
                      <w:sz w:val="18"/>
                      <w:szCs w:val="18"/>
                    </w:rPr>
                    <w:t>门达山新材料有限公司</w:t>
                  </w:r>
                  <w:r>
                    <w:rPr>
                      <w:rFonts w:hint="eastAsia"/>
                      <w:sz w:val="18"/>
                      <w:szCs w:val="18"/>
                      <w:lang w:eastAsia="zh-CN"/>
                    </w:rPr>
                    <w:t>、</w:t>
                  </w:r>
                  <w:r>
                    <w:rPr>
                      <w:rFonts w:hint="eastAsia"/>
                      <w:sz w:val="18"/>
                      <w:szCs w:val="18"/>
                      <w:lang w:val="en-US" w:eastAsia="zh-CN"/>
                    </w:rPr>
                    <w:t>漳州旺美华塑胶制品有限公司等</w:t>
                  </w:r>
                </w:p>
              </w:tc>
              <w:tc>
                <w:tcPr>
                  <w:tcW w:w="3989" w:type="dxa"/>
                </w:tcPr>
                <w:p>
                  <w:pPr>
                    <w:rPr>
                      <w:sz w:val="18"/>
                      <w:szCs w:val="18"/>
                    </w:rPr>
                  </w:pPr>
                  <w:r>
                    <w:rPr>
                      <w:rFonts w:hint="eastAsia"/>
                      <w:sz w:val="18"/>
                      <w:szCs w:val="18"/>
                    </w:rPr>
                    <w:t>☑组织的持续经营、明示采购的食品安全要求</w:t>
                  </w:r>
                </w:p>
                <w:p>
                  <w:pPr>
                    <w:rPr>
                      <w:sz w:val="18"/>
                      <w:szCs w:val="18"/>
                    </w:rPr>
                  </w:pPr>
                  <w:r>
                    <w:rPr>
                      <w:rFonts w:hint="eastAsia"/>
                      <w:sz w:val="18"/>
                      <w:szCs w:val="18"/>
                    </w:rPr>
                    <w:t>□</w:t>
                  </w:r>
                </w:p>
              </w:tc>
              <w:tc>
                <w:tcPr>
                  <w:tcW w:w="1324" w:type="dxa"/>
                </w:tcPr>
                <w:p>
                  <w:pPr>
                    <w:rPr>
                      <w:sz w:val="18"/>
                      <w:szCs w:val="18"/>
                    </w:rPr>
                  </w:pPr>
                  <w:r>
                    <w:rPr>
                      <w:rFonts w:hint="eastAsia"/>
                      <w:sz w:val="18"/>
                      <w:szCs w:val="18"/>
                    </w:rPr>
                    <w:sym w:font="Wingdings" w:char="00FE"/>
                  </w:r>
                  <w:r>
                    <w:rPr>
                      <w:rFonts w:hint="eastAsia"/>
                      <w:sz w:val="18"/>
                      <w:szCs w:val="18"/>
                    </w:rPr>
                    <w:t xml:space="preserve">是  </w:t>
                  </w:r>
                  <w:r>
                    <w:rPr>
                      <w:rFonts w:hint="eastAsia"/>
                      <w:sz w:val="18"/>
                      <w:szCs w:val="18"/>
                    </w:rPr>
                    <w:sym w:font="Wingdings" w:char="00A8"/>
                  </w:r>
                  <w:r>
                    <w:rPr>
                      <w:rFonts w:hint="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 w:val="18"/>
                      <w:szCs w:val="18"/>
                      <w:highlight w:val="none"/>
                    </w:rPr>
                  </w:pPr>
                  <w:r>
                    <w:rPr>
                      <w:rFonts w:hint="eastAsia"/>
                      <w:sz w:val="18"/>
                      <w:szCs w:val="18"/>
                      <w:highlight w:val="none"/>
                    </w:rPr>
                    <w:t>☑顾客</w:t>
                  </w:r>
                </w:p>
              </w:tc>
              <w:tc>
                <w:tcPr>
                  <w:tcW w:w="2117" w:type="dxa"/>
                </w:tcPr>
                <w:p>
                  <w:pPr>
                    <w:rPr>
                      <w:rFonts w:hint="default" w:eastAsia="宋体"/>
                      <w:sz w:val="18"/>
                      <w:szCs w:val="18"/>
                      <w:highlight w:val="none"/>
                      <w:lang w:val="en-US" w:eastAsia="zh-CN"/>
                    </w:rPr>
                  </w:pPr>
                  <w:r>
                    <w:rPr>
                      <w:rFonts w:hint="eastAsia"/>
                      <w:sz w:val="18"/>
                      <w:szCs w:val="18"/>
                      <w:highlight w:val="none"/>
                      <w:lang w:val="en-US" w:eastAsia="zh-CN"/>
                    </w:rPr>
                    <w:t>如：豪客来等</w:t>
                  </w:r>
                </w:p>
              </w:tc>
              <w:tc>
                <w:tcPr>
                  <w:tcW w:w="3989" w:type="dxa"/>
                </w:tcPr>
                <w:p>
                  <w:pPr>
                    <w:ind w:left="210" w:hanging="180" w:hangingChars="100"/>
                    <w:rPr>
                      <w:sz w:val="18"/>
                      <w:szCs w:val="18"/>
                      <w:highlight w:val="none"/>
                    </w:rPr>
                  </w:pPr>
                  <w:r>
                    <w:rPr>
                      <w:rFonts w:hint="eastAsia"/>
                      <w:sz w:val="18"/>
                      <w:szCs w:val="18"/>
                      <w:highlight w:val="none"/>
                    </w:rPr>
                    <w:t>☑不因食品安全问题影响按时按质按量交付产品或服务；</w:t>
                  </w:r>
                </w:p>
                <w:p>
                  <w:pPr>
                    <w:rPr>
                      <w:sz w:val="18"/>
                      <w:szCs w:val="18"/>
                      <w:highlight w:val="none"/>
                    </w:rPr>
                  </w:pPr>
                  <w:r>
                    <w:rPr>
                      <w:rFonts w:hint="eastAsia"/>
                      <w:sz w:val="18"/>
                      <w:szCs w:val="18"/>
                      <w:highlight w:val="none"/>
                    </w:rPr>
                    <w:t>□</w:t>
                  </w:r>
                </w:p>
              </w:tc>
              <w:tc>
                <w:tcPr>
                  <w:tcW w:w="1324" w:type="dxa"/>
                </w:tcPr>
                <w:p>
                  <w:pPr>
                    <w:rPr>
                      <w:sz w:val="18"/>
                      <w:szCs w:val="18"/>
                      <w:highlight w:val="none"/>
                    </w:rPr>
                  </w:pPr>
                  <w:r>
                    <w:rPr>
                      <w:rFonts w:hint="eastAsia"/>
                      <w:sz w:val="18"/>
                      <w:szCs w:val="18"/>
                      <w:highlight w:val="none"/>
                    </w:rPr>
                    <w:sym w:font="Wingdings" w:char="00FE"/>
                  </w:r>
                  <w:r>
                    <w:rPr>
                      <w:rFonts w:hint="eastAsia"/>
                      <w:sz w:val="18"/>
                      <w:szCs w:val="18"/>
                      <w:highlight w:val="none"/>
                    </w:rPr>
                    <w:t xml:space="preserve">是  </w:t>
                  </w:r>
                  <w:r>
                    <w:rPr>
                      <w:rFonts w:hint="eastAsia"/>
                      <w:sz w:val="18"/>
                      <w:szCs w:val="18"/>
                      <w:highlight w:val="none"/>
                    </w:rPr>
                    <w:sym w:font="Wingdings" w:char="00A8"/>
                  </w:r>
                  <w:r>
                    <w:rPr>
                      <w:rFonts w:hint="eastAsia"/>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☑消费者</w:t>
                  </w:r>
                </w:p>
              </w:tc>
              <w:tc>
                <w:tcPr>
                  <w:tcW w:w="2117" w:type="dxa"/>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普通大众全体</w:t>
                  </w:r>
                </w:p>
              </w:tc>
              <w:tc>
                <w:tcPr>
                  <w:tcW w:w="3989" w:type="dxa"/>
                </w:tcPr>
                <w:p>
                  <w:pPr>
                    <w:rPr>
                      <w:sz w:val="18"/>
                      <w:szCs w:val="18"/>
                    </w:rPr>
                  </w:pPr>
                  <w:r>
                    <w:rPr>
                      <w:rFonts w:hint="eastAsia"/>
                      <w:sz w:val="18"/>
                      <w:szCs w:val="18"/>
                    </w:rPr>
                    <w:t>☑不因食品安全问题带来健康损害和生命威胁</w:t>
                  </w:r>
                </w:p>
                <w:p>
                  <w:pPr>
                    <w:rPr>
                      <w:sz w:val="18"/>
                      <w:szCs w:val="18"/>
                    </w:rPr>
                  </w:pPr>
                  <w:r>
                    <w:rPr>
                      <w:rFonts w:hint="eastAsia"/>
                      <w:sz w:val="18"/>
                      <w:szCs w:val="18"/>
                    </w:rPr>
                    <w:t>□</w:t>
                  </w:r>
                </w:p>
              </w:tc>
              <w:tc>
                <w:tcPr>
                  <w:tcW w:w="1324" w:type="dxa"/>
                </w:tcPr>
                <w:p>
                  <w:pPr>
                    <w:rPr>
                      <w:sz w:val="18"/>
                      <w:szCs w:val="18"/>
                    </w:rPr>
                  </w:pPr>
                  <w:r>
                    <w:rPr>
                      <w:rFonts w:hint="eastAsia"/>
                      <w:sz w:val="18"/>
                      <w:szCs w:val="18"/>
                    </w:rPr>
                    <w:sym w:font="Wingdings" w:char="00FE"/>
                  </w:r>
                  <w:r>
                    <w:rPr>
                      <w:rFonts w:hint="eastAsia"/>
                      <w:sz w:val="18"/>
                      <w:szCs w:val="18"/>
                    </w:rPr>
                    <w:t xml:space="preserve">是  </w:t>
                  </w:r>
                  <w:r>
                    <w:rPr>
                      <w:rFonts w:hint="eastAsia"/>
                      <w:sz w:val="18"/>
                      <w:szCs w:val="18"/>
                    </w:rPr>
                    <w:sym w:font="Wingdings" w:char="00A8"/>
                  </w:r>
                  <w:r>
                    <w:rPr>
                      <w:rFonts w:hint="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 w:val="18"/>
                      <w:szCs w:val="18"/>
                    </w:rPr>
                  </w:pPr>
                  <w:r>
                    <w:rPr>
                      <w:rFonts w:hint="eastAsia"/>
                      <w:sz w:val="18"/>
                      <w:szCs w:val="18"/>
                    </w:rPr>
                    <w:sym w:font="Wingdings 2" w:char="0052"/>
                  </w:r>
                  <w:r>
                    <w:rPr>
                      <w:rFonts w:hint="eastAsia"/>
                      <w:sz w:val="18"/>
                      <w:szCs w:val="18"/>
                    </w:rPr>
                    <w:t>员工</w:t>
                  </w:r>
                </w:p>
              </w:tc>
              <w:tc>
                <w:tcPr>
                  <w:tcW w:w="2117" w:type="dxa"/>
                </w:tcPr>
                <w:p>
                  <w:pPr>
                    <w:rPr>
                      <w:sz w:val="18"/>
                      <w:szCs w:val="18"/>
                    </w:rPr>
                  </w:pPr>
                  <w:r>
                    <w:rPr>
                      <w:rFonts w:hint="eastAsia"/>
                      <w:sz w:val="18"/>
                      <w:szCs w:val="18"/>
                    </w:rPr>
                    <w:t>——</w:t>
                  </w:r>
                </w:p>
              </w:tc>
              <w:tc>
                <w:tcPr>
                  <w:tcW w:w="3989" w:type="dxa"/>
                </w:tcPr>
                <w:p>
                  <w:pPr>
                    <w:rPr>
                      <w:sz w:val="18"/>
                      <w:szCs w:val="18"/>
                    </w:rPr>
                  </w:pPr>
                  <w:r>
                    <w:rPr>
                      <w:rFonts w:hint="eastAsia"/>
                      <w:sz w:val="18"/>
                      <w:szCs w:val="18"/>
                    </w:rPr>
                    <w:t>☑不因食品安全问题停产，组织持续经营</w:t>
                  </w:r>
                </w:p>
                <w:p>
                  <w:pPr>
                    <w:rPr>
                      <w:sz w:val="18"/>
                      <w:szCs w:val="18"/>
                    </w:rPr>
                  </w:pPr>
                  <w:r>
                    <w:rPr>
                      <w:rFonts w:hint="eastAsia"/>
                      <w:sz w:val="18"/>
                      <w:szCs w:val="18"/>
                    </w:rPr>
                    <w:t>□</w:t>
                  </w:r>
                </w:p>
              </w:tc>
              <w:tc>
                <w:tcPr>
                  <w:tcW w:w="1324" w:type="dxa"/>
                </w:tcPr>
                <w:p>
                  <w:pPr>
                    <w:rPr>
                      <w:sz w:val="18"/>
                      <w:szCs w:val="18"/>
                    </w:rPr>
                  </w:pPr>
                  <w:r>
                    <w:rPr>
                      <w:rFonts w:hint="eastAsia"/>
                      <w:sz w:val="18"/>
                      <w:szCs w:val="18"/>
                    </w:rPr>
                    <w:sym w:font="Wingdings" w:char="00FE"/>
                  </w:r>
                  <w:r>
                    <w:rPr>
                      <w:rFonts w:hint="eastAsia"/>
                      <w:sz w:val="18"/>
                      <w:szCs w:val="18"/>
                    </w:rPr>
                    <w:t xml:space="preserve">是  </w:t>
                  </w:r>
                  <w:r>
                    <w:rPr>
                      <w:rFonts w:hint="eastAsia"/>
                      <w:sz w:val="18"/>
                      <w:szCs w:val="18"/>
                    </w:rPr>
                    <w:sym w:font="Wingdings" w:char="00A8"/>
                  </w:r>
                  <w:r>
                    <w:rPr>
                      <w:rFonts w:hint="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 w:val="18"/>
                      <w:szCs w:val="18"/>
                    </w:rPr>
                  </w:pPr>
                  <w:r>
                    <w:rPr>
                      <w:rFonts w:hint="eastAsia"/>
                      <w:sz w:val="18"/>
                      <w:szCs w:val="18"/>
                    </w:rPr>
                    <w:t>□投资方</w:t>
                  </w:r>
                </w:p>
              </w:tc>
              <w:tc>
                <w:tcPr>
                  <w:tcW w:w="2117" w:type="dxa"/>
                </w:tcPr>
                <w:p>
                  <w:pPr>
                    <w:rPr>
                      <w:sz w:val="18"/>
                      <w:szCs w:val="18"/>
                    </w:rPr>
                  </w:pPr>
                  <w:r>
                    <w:rPr>
                      <w:rFonts w:hint="eastAsia"/>
                      <w:sz w:val="18"/>
                      <w:szCs w:val="18"/>
                    </w:rPr>
                    <w:t>——</w:t>
                  </w:r>
                </w:p>
              </w:tc>
              <w:tc>
                <w:tcPr>
                  <w:tcW w:w="3989" w:type="dxa"/>
                </w:tcPr>
                <w:p>
                  <w:pPr>
                    <w:rPr>
                      <w:sz w:val="18"/>
                      <w:szCs w:val="18"/>
                    </w:rPr>
                  </w:pPr>
                  <w:r>
                    <w:rPr>
                      <w:rFonts w:hint="eastAsia"/>
                      <w:sz w:val="18"/>
                      <w:szCs w:val="18"/>
                    </w:rPr>
                    <w:t>□不因食品安全问题停产，组织持续经营、盈利</w:t>
                  </w:r>
                </w:p>
                <w:p>
                  <w:pPr>
                    <w:rPr>
                      <w:sz w:val="18"/>
                      <w:szCs w:val="18"/>
                    </w:rPr>
                  </w:pPr>
                  <w:r>
                    <w:rPr>
                      <w:rFonts w:hint="eastAsia"/>
                      <w:sz w:val="18"/>
                      <w:szCs w:val="18"/>
                    </w:rPr>
                    <w:t>□</w:t>
                  </w:r>
                </w:p>
              </w:tc>
              <w:tc>
                <w:tcPr>
                  <w:tcW w:w="1324" w:type="dxa"/>
                </w:tcPr>
                <w:p>
                  <w:pPr>
                    <w:rPr>
                      <w:sz w:val="18"/>
                      <w:szCs w:val="18"/>
                    </w:rPr>
                  </w:pPr>
                  <w:r>
                    <w:rPr>
                      <w:rFonts w:hint="eastAsia"/>
                      <w:sz w:val="18"/>
                      <w:szCs w:val="18"/>
                    </w:rPr>
                    <w:sym w:font="Wingdings" w:char="00A8"/>
                  </w:r>
                  <w:r>
                    <w:rPr>
                      <w:rFonts w:hint="eastAsia"/>
                      <w:sz w:val="18"/>
                      <w:szCs w:val="18"/>
                    </w:rPr>
                    <w:t xml:space="preserve">是  </w:t>
                  </w:r>
                  <w:r>
                    <w:rPr>
                      <w:rFonts w:hint="eastAsia"/>
                      <w:sz w:val="18"/>
                      <w:szCs w:val="18"/>
                    </w:rPr>
                    <w:sym w:font="Wingdings" w:char="00A8"/>
                  </w:r>
                  <w:r>
                    <w:rPr>
                      <w:rFonts w:hint="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 w:val="18"/>
                      <w:szCs w:val="18"/>
                    </w:rPr>
                  </w:pPr>
                  <w:r>
                    <w:rPr>
                      <w:rFonts w:hint="eastAsia"/>
                      <w:sz w:val="18"/>
                      <w:szCs w:val="18"/>
                    </w:rPr>
                    <w:sym w:font="Wingdings 2" w:char="0052"/>
                  </w:r>
                  <w:r>
                    <w:rPr>
                      <w:rFonts w:hint="eastAsia"/>
                      <w:sz w:val="18"/>
                      <w:szCs w:val="18"/>
                    </w:rPr>
                    <w:t>社区</w:t>
                  </w:r>
                </w:p>
              </w:tc>
              <w:tc>
                <w:tcPr>
                  <w:tcW w:w="2117" w:type="dxa"/>
                </w:tcPr>
                <w:p>
                  <w:pPr>
                    <w:rPr>
                      <w:rFonts w:hint="default" w:eastAsia="宋体"/>
                      <w:sz w:val="18"/>
                      <w:szCs w:val="18"/>
                      <w:lang w:val="en-US" w:eastAsia="zh-CN"/>
                    </w:rPr>
                  </w:pPr>
                  <w:r>
                    <w:rPr>
                      <w:rFonts w:hint="eastAsia"/>
                      <w:sz w:val="18"/>
                      <w:szCs w:val="18"/>
                      <w:lang w:val="en-US" w:eastAsia="zh-CN"/>
                    </w:rPr>
                    <w:t>工业园区</w:t>
                  </w:r>
                </w:p>
              </w:tc>
              <w:tc>
                <w:tcPr>
                  <w:tcW w:w="3989" w:type="dxa"/>
                </w:tcPr>
                <w:p>
                  <w:pPr>
                    <w:rPr>
                      <w:sz w:val="18"/>
                      <w:szCs w:val="18"/>
                    </w:rPr>
                  </w:pPr>
                  <w:r>
                    <w:rPr>
                      <w:rFonts w:hint="eastAsia"/>
                      <w:sz w:val="18"/>
                      <w:szCs w:val="18"/>
                    </w:rPr>
                    <w:sym w:font="Wingdings 2" w:char="00A3"/>
                  </w:r>
                  <w:r>
                    <w:rPr>
                      <w:rFonts w:hint="eastAsia"/>
                      <w:sz w:val="18"/>
                      <w:szCs w:val="18"/>
                    </w:rPr>
                    <w:t>不因食品安全问题影响周围人员的就业</w:t>
                  </w:r>
                </w:p>
                <w:p>
                  <w:pPr>
                    <w:rPr>
                      <w:sz w:val="18"/>
                      <w:szCs w:val="18"/>
                    </w:rPr>
                  </w:pPr>
                  <w:r>
                    <w:rPr>
                      <w:rFonts w:hint="eastAsia"/>
                      <w:sz w:val="18"/>
                      <w:szCs w:val="18"/>
                    </w:rPr>
                    <w:t>□</w:t>
                  </w:r>
                </w:p>
              </w:tc>
              <w:tc>
                <w:tcPr>
                  <w:tcW w:w="1324" w:type="dxa"/>
                </w:tcPr>
                <w:p>
                  <w:pPr>
                    <w:rPr>
                      <w:sz w:val="18"/>
                      <w:szCs w:val="18"/>
                    </w:rPr>
                  </w:pPr>
                  <w:r>
                    <w:rPr>
                      <w:rFonts w:hint="eastAsia"/>
                      <w:sz w:val="18"/>
                      <w:szCs w:val="18"/>
                    </w:rPr>
                    <w:sym w:font="Wingdings" w:char="00A8"/>
                  </w:r>
                  <w:r>
                    <w:rPr>
                      <w:rFonts w:hint="eastAsia"/>
                      <w:sz w:val="18"/>
                      <w:szCs w:val="18"/>
                    </w:rPr>
                    <w:t xml:space="preserve">是  </w:t>
                  </w:r>
                  <w:r>
                    <w:rPr>
                      <w:rFonts w:hint="eastAsia"/>
                      <w:sz w:val="18"/>
                      <w:szCs w:val="18"/>
                    </w:rPr>
                    <w:sym w:font="Wingdings" w:char="00A8"/>
                  </w:r>
                  <w:r>
                    <w:rPr>
                      <w:rFonts w:hint="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 w:val="18"/>
                      <w:szCs w:val="18"/>
                    </w:rPr>
                  </w:pPr>
                  <w:r>
                    <w:rPr>
                      <w:rFonts w:hint="eastAsia"/>
                      <w:sz w:val="18"/>
                      <w:szCs w:val="18"/>
                    </w:rPr>
                    <w:t>□其他</w:t>
                  </w:r>
                </w:p>
              </w:tc>
              <w:tc>
                <w:tcPr>
                  <w:tcW w:w="2117" w:type="dxa"/>
                </w:tcPr>
                <w:p>
                  <w:pPr>
                    <w:rPr>
                      <w:sz w:val="18"/>
                      <w:szCs w:val="18"/>
                    </w:rPr>
                  </w:pPr>
                </w:p>
              </w:tc>
              <w:tc>
                <w:tcPr>
                  <w:tcW w:w="3989" w:type="dxa"/>
                </w:tcPr>
                <w:p>
                  <w:pPr>
                    <w:rPr>
                      <w:sz w:val="18"/>
                      <w:szCs w:val="18"/>
                    </w:rPr>
                  </w:pPr>
                </w:p>
              </w:tc>
              <w:tc>
                <w:tcPr>
                  <w:tcW w:w="1324" w:type="dxa"/>
                </w:tcPr>
                <w:p>
                  <w:pPr>
                    <w:rPr>
                      <w:sz w:val="18"/>
                      <w:szCs w:val="18"/>
                    </w:rPr>
                  </w:pPr>
                  <w:r>
                    <w:rPr>
                      <w:rFonts w:hint="eastAsia"/>
                      <w:sz w:val="18"/>
                      <w:szCs w:val="18"/>
                    </w:rPr>
                    <w:sym w:font="Wingdings" w:char="00A8"/>
                  </w:r>
                  <w:r>
                    <w:rPr>
                      <w:rFonts w:hint="eastAsia"/>
                      <w:sz w:val="18"/>
                      <w:szCs w:val="18"/>
                    </w:rPr>
                    <w:t xml:space="preserve">是  </w:t>
                  </w:r>
                  <w:r>
                    <w:rPr>
                      <w:rFonts w:hint="eastAsia"/>
                      <w:sz w:val="18"/>
                      <w:szCs w:val="18"/>
                    </w:rPr>
                    <w:sym w:font="Wingdings" w:char="00A8"/>
                  </w:r>
                  <w:r>
                    <w:rPr>
                      <w:rFonts w:hint="eastAsia"/>
                      <w:sz w:val="18"/>
                      <w:szCs w:val="18"/>
                    </w:rPr>
                    <w:t>否</w:t>
                  </w:r>
                </w:p>
              </w:tc>
            </w:tr>
          </w:tbl>
          <w:p>
            <w:pPr>
              <w:rPr>
                <w:color w:val="000000"/>
                <w:szCs w:val="21"/>
              </w:rPr>
            </w:pPr>
          </w:p>
          <w:p>
            <w:r>
              <w:rPr>
                <w:rFonts w:hint="eastAsia"/>
                <w:color w:val="000000"/>
                <w:szCs w:val="21"/>
              </w:rPr>
              <w:t>主要证据体现在</w:t>
            </w:r>
            <w:r>
              <w:rPr>
                <w:rFonts w:hint="eastAsia"/>
              </w:rPr>
              <w:t xml:space="preserve"> </w:t>
            </w:r>
            <w:r>
              <w:rPr>
                <w:rFonts w:hint="eastAsia"/>
              </w:rPr>
              <w:sym w:font="Wingdings" w:char="00FE"/>
            </w:r>
            <w:r>
              <w:rPr>
                <w:rFonts w:hint="eastAsia"/>
              </w:rPr>
              <w:t xml:space="preserve">《相关方的需求和期望分析表》  </w:t>
            </w:r>
            <w:r>
              <w:rPr>
                <w:rFonts w:hint="eastAsia"/>
              </w:rPr>
              <w:sym w:font="Wingdings" w:char="00A8"/>
            </w:r>
            <w:r>
              <w:rPr>
                <w:rFonts w:hint="eastAsia"/>
              </w:rPr>
              <w:t xml:space="preserve">《年度业务计划》 </w:t>
            </w:r>
            <w:r>
              <w:rPr>
                <w:rFonts w:hint="eastAsia"/>
              </w:rPr>
              <w:sym w:font="Wingdings" w:char="00A8"/>
            </w:r>
            <w:r>
              <w:rPr>
                <w:rFonts w:hint="eastAsia"/>
              </w:rPr>
              <w:t>其他</w:t>
            </w:r>
          </w:p>
          <w:p/>
        </w:tc>
        <w:tc>
          <w:tcPr>
            <w:tcW w:w="1590"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4" w:type="dxa"/>
            <w:vMerge w:val="restart"/>
            <w:shd w:val="clear" w:color="auto" w:fill="FFFFFF" w:themeFill="background1"/>
          </w:tcPr>
          <w:p>
            <w:r>
              <w:rPr>
                <w:rFonts w:hint="eastAsia"/>
              </w:rPr>
              <w:t>确定食品安全管理体系的范围</w:t>
            </w:r>
          </w:p>
        </w:tc>
        <w:tc>
          <w:tcPr>
            <w:tcW w:w="952" w:type="dxa"/>
            <w:vMerge w:val="restart"/>
            <w:shd w:val="clear" w:color="auto" w:fill="FFFFFF" w:themeFill="background1"/>
          </w:tcPr>
          <w:p>
            <w:r>
              <w:rPr>
                <w:rFonts w:hint="eastAsia"/>
              </w:rPr>
              <w:t>F4.3</w:t>
            </w:r>
          </w:p>
          <w:p/>
        </w:tc>
        <w:tc>
          <w:tcPr>
            <w:tcW w:w="761" w:type="dxa"/>
            <w:shd w:val="clear" w:color="auto" w:fill="FFFFFF" w:themeFill="background1"/>
          </w:tcPr>
          <w:p>
            <w:r>
              <w:rPr>
                <w:rFonts w:hint="eastAsia"/>
              </w:rPr>
              <w:t>文件名称</w:t>
            </w:r>
          </w:p>
        </w:tc>
        <w:tc>
          <w:tcPr>
            <w:tcW w:w="9367" w:type="dxa"/>
            <w:shd w:val="clear" w:color="auto" w:fill="FFFFFF" w:themeFill="background1"/>
          </w:tcPr>
          <w:p>
            <w:r>
              <w:rPr>
                <w:rFonts w:hint="eastAsia"/>
              </w:rPr>
              <w:t>如：管理手册第4.3条款和“公司介绍”</w:t>
            </w:r>
          </w:p>
        </w:tc>
        <w:tc>
          <w:tcPr>
            <w:tcW w:w="1590" w:type="dxa"/>
            <w:gridSpan w:val="2"/>
            <w:vMerge w:val="restart"/>
            <w:shd w:val="clear" w:color="auto" w:fill="FFFFFF" w:themeFill="background1"/>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044" w:type="dxa"/>
            <w:vMerge w:val="continue"/>
            <w:shd w:val="clear" w:color="auto" w:fill="FFFFFF" w:themeFill="background1"/>
          </w:tcPr>
          <w:p/>
        </w:tc>
        <w:tc>
          <w:tcPr>
            <w:tcW w:w="952" w:type="dxa"/>
            <w:vMerge w:val="continue"/>
            <w:shd w:val="clear" w:color="auto" w:fill="FFFFFF" w:themeFill="background1"/>
          </w:tcPr>
          <w:p/>
        </w:tc>
        <w:tc>
          <w:tcPr>
            <w:tcW w:w="761" w:type="dxa"/>
            <w:shd w:val="clear" w:color="auto" w:fill="FFFFFF" w:themeFill="background1"/>
          </w:tcPr>
          <w:p>
            <w:r>
              <w:rPr>
                <w:rFonts w:hint="eastAsia"/>
              </w:rPr>
              <w:t>运行证据</w:t>
            </w:r>
          </w:p>
        </w:tc>
        <w:tc>
          <w:tcPr>
            <w:tcW w:w="9367" w:type="dxa"/>
            <w:shd w:val="clear" w:color="auto" w:fill="FFFFFF" w:themeFill="background1"/>
          </w:tcPr>
          <w:p>
            <w:r>
              <w:rPr>
                <w:rFonts w:hint="eastAsia"/>
              </w:rPr>
              <w:t>组织考虑了各种内部和外部因素和相关方的要求确定了相关管理体系的范围；如下</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4117"/>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11" w:type="dxa"/>
                </w:tcPr>
                <w:p>
                  <w:r>
                    <w:rPr>
                      <w:rFonts w:hint="eastAsia"/>
                    </w:rPr>
                    <w:t>范围的项目</w:t>
                  </w:r>
                </w:p>
              </w:tc>
              <w:tc>
                <w:tcPr>
                  <w:tcW w:w="4117" w:type="dxa"/>
                </w:tcPr>
                <w:p>
                  <w:r>
                    <w:rPr>
                      <w:rFonts w:hint="eastAsia"/>
                    </w:rPr>
                    <w:t>内容描述</w:t>
                  </w:r>
                </w:p>
              </w:tc>
              <w:tc>
                <w:tcPr>
                  <w:tcW w:w="3015" w:type="dxa"/>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产品或产品类别/服务的过程</w:t>
                  </w:r>
                </w:p>
              </w:tc>
              <w:tc>
                <w:tcPr>
                  <w:tcW w:w="4117" w:type="dxa"/>
                </w:tcPr>
                <w:p>
                  <w:r>
                    <w:rPr>
                      <w:rFonts w:hint="eastAsia"/>
                    </w:rPr>
                    <w:t>F：位于</w:t>
                  </w:r>
                  <w:r>
                    <w:t>厦门火炬高新区（翔安）产业区翔明路26号第三层302的</w:t>
                  </w:r>
                  <w:bookmarkStart w:id="0" w:name="审核范围"/>
                  <w:r>
                    <w:t>塑料一次性餐具（PS/PP/PET)的生产</w:t>
                  </w:r>
                  <w:bookmarkEnd w:id="0"/>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经营地址（生产/服务场地）</w:t>
                  </w:r>
                </w:p>
              </w:tc>
              <w:tc>
                <w:tcPr>
                  <w:tcW w:w="4117" w:type="dxa"/>
                </w:tcPr>
                <w:p>
                  <w:pPr>
                    <w:rPr>
                      <w:highlight w:val="yellow"/>
                    </w:rPr>
                  </w:pPr>
                  <w:bookmarkStart w:id="1" w:name="注册地址"/>
                  <w:r>
                    <w:rPr>
                      <w:rFonts w:asciiTheme="minorEastAsia" w:hAnsiTheme="minorEastAsia" w:eastAsiaTheme="minorEastAsia"/>
                      <w:sz w:val="20"/>
                    </w:rPr>
                    <w:t>厦门火炬高新区（翔安）产业区翔明路26号第三层302</w:t>
                  </w:r>
                  <w:bookmarkEnd w:id="1"/>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临时现场</w:t>
                  </w:r>
                </w:p>
              </w:tc>
              <w:tc>
                <w:tcPr>
                  <w:tcW w:w="4117" w:type="dxa"/>
                </w:tcPr>
                <w:p>
                  <w:r>
                    <w:rPr>
                      <w:rFonts w:hint="eastAsia"/>
                    </w:rPr>
                    <w:t>——</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多场所</w:t>
                  </w:r>
                </w:p>
              </w:tc>
              <w:tc>
                <w:tcPr>
                  <w:tcW w:w="4117" w:type="dxa"/>
                </w:tcPr>
                <w:p>
                  <w:r>
                    <w:rPr>
                      <w:rFonts w:hint="eastAsia"/>
                    </w:rPr>
                    <w:t>——</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组织单元（部门/分支）</w:t>
                  </w:r>
                </w:p>
              </w:tc>
              <w:tc>
                <w:tcPr>
                  <w:tcW w:w="4117" w:type="dxa"/>
                </w:tcPr>
                <w:p>
                  <w:r>
                    <w:rPr>
                      <w:rFonts w:hint="eastAsia"/>
                    </w:rPr>
                    <w:sym w:font="Wingdings" w:char="00FE"/>
                  </w:r>
                  <w:r>
                    <w:rPr>
                      <w:rFonts w:hint="eastAsia"/>
                    </w:rPr>
                    <w:t>与组织结构图一致</w:t>
                  </w:r>
                </w:p>
                <w:p>
                  <w:pPr>
                    <w:rPr>
                      <w:u w:val="single"/>
                    </w:rPr>
                  </w:pPr>
                  <w:r>
                    <w:rPr>
                      <w:rFonts w:hint="eastAsia"/>
                    </w:rPr>
                    <w:sym w:font="Wingdings" w:char="00A8"/>
                  </w:r>
                  <w:r>
                    <w:rPr>
                      <w:rFonts w:hint="eastAsia"/>
                    </w:rPr>
                    <w:t xml:space="preserve">分支机构，如： </w:t>
                  </w:r>
                  <w:r>
                    <w:rPr>
                      <w:rFonts w:hint="eastAsia"/>
                      <w:u w:val="single"/>
                    </w:rPr>
                    <w:t xml:space="preserve">                  </w:t>
                  </w:r>
                </w:p>
                <w:p>
                  <w:r>
                    <w:rPr>
                      <w:rFonts w:hint="eastAsia"/>
                    </w:rPr>
                    <w:sym w:font="Wingdings" w:char="00A8"/>
                  </w:r>
                  <w:r>
                    <w:rPr>
                      <w:rFonts w:hint="eastAsia"/>
                    </w:rPr>
                    <w:t xml:space="preserve">临时场所，如： </w:t>
                  </w:r>
                  <w:r>
                    <w:rPr>
                      <w:rFonts w:hint="eastAsia"/>
                      <w:u w:val="single"/>
                    </w:rPr>
                    <w:t xml:space="preserve">                 </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时间</w:t>
                  </w:r>
                </w:p>
              </w:tc>
              <w:tc>
                <w:tcPr>
                  <w:tcW w:w="4117" w:type="dxa"/>
                </w:tcPr>
                <w:p>
                  <w:pPr>
                    <w:rPr>
                      <w:rFonts w:hint="eastAsia" w:eastAsia="宋体"/>
                      <w:lang w:val="en-US" w:eastAsia="zh-CN"/>
                    </w:rPr>
                  </w:pPr>
                  <w:r>
                    <w:rPr>
                      <w:rFonts w:hint="eastAsia"/>
                    </w:rPr>
                    <w:sym w:font="Wingdings" w:char="00A8"/>
                  </w:r>
                  <w:r>
                    <w:rPr>
                      <w:rFonts w:hint="eastAsia"/>
                    </w:rPr>
                    <w:t xml:space="preserve"> 体系建立以来</w:t>
                  </w:r>
                  <w:r>
                    <w:rPr>
                      <w:rFonts w:hint="eastAsia"/>
                      <w:lang w:val="en-US" w:eastAsia="zh-CN"/>
                    </w:rPr>
                    <w:t xml:space="preserve"> </w:t>
                  </w:r>
                </w:p>
                <w:p>
                  <w:pPr>
                    <w:rPr>
                      <w:rFonts w:hint="default" w:eastAsia="宋体"/>
                      <w:lang w:val="en-US" w:eastAsia="zh-CN"/>
                    </w:rPr>
                  </w:pPr>
                  <w:r>
                    <w:rPr>
                      <w:rFonts w:hint="eastAsia"/>
                    </w:rPr>
                    <w:sym w:font="Wingdings" w:char="00FE"/>
                  </w:r>
                  <w:r>
                    <w:rPr>
                      <w:rFonts w:hint="eastAsia"/>
                      <w:lang w:val="en-US" w:eastAsia="zh-CN"/>
                    </w:rPr>
                    <w:t xml:space="preserve"> 近一年以来，2021-03-15</w:t>
                  </w:r>
                </w:p>
              </w:tc>
              <w:tc>
                <w:tcPr>
                  <w:tcW w:w="3015" w:type="dxa"/>
                </w:tcPr>
                <w:p/>
              </w:tc>
            </w:tr>
          </w:tbl>
          <w:p>
            <w:pPr>
              <w:rPr>
                <w:color w:val="000000"/>
                <w:szCs w:val="21"/>
              </w:rPr>
            </w:pPr>
          </w:p>
          <w:p>
            <w:pPr>
              <w:rPr>
                <w:color w:val="000000"/>
                <w:szCs w:val="21"/>
              </w:rPr>
            </w:pPr>
            <w:r>
              <w:rPr>
                <w:rFonts w:hint="eastAsia"/>
                <w:color w:val="000000"/>
                <w:szCs w:val="21"/>
              </w:rPr>
              <w:t>在企业的管理手册中有描述。</w:t>
            </w:r>
          </w:p>
        </w:tc>
        <w:tc>
          <w:tcPr>
            <w:tcW w:w="1590" w:type="dxa"/>
            <w:gridSpan w:val="2"/>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4" w:type="dxa"/>
            <w:vMerge w:val="restart"/>
            <w:shd w:val="clear" w:color="auto" w:fill="FFFFFF" w:themeFill="background1"/>
          </w:tcPr>
          <w:p>
            <w:r>
              <w:rPr>
                <w:rFonts w:hint="eastAsia"/>
              </w:rPr>
              <w:t>食品安全管理体系</w:t>
            </w:r>
          </w:p>
        </w:tc>
        <w:tc>
          <w:tcPr>
            <w:tcW w:w="952" w:type="dxa"/>
            <w:vMerge w:val="restart"/>
            <w:shd w:val="clear" w:color="auto" w:fill="FFFFFF" w:themeFill="background1"/>
          </w:tcPr>
          <w:p>
            <w:r>
              <w:rPr>
                <w:rFonts w:hint="eastAsia"/>
              </w:rPr>
              <w:t xml:space="preserve">F4.4 </w:t>
            </w:r>
          </w:p>
        </w:tc>
        <w:tc>
          <w:tcPr>
            <w:tcW w:w="761" w:type="dxa"/>
            <w:shd w:val="clear" w:color="auto" w:fill="FFFFFF" w:themeFill="background1"/>
          </w:tcPr>
          <w:p>
            <w:r>
              <w:rPr>
                <w:rFonts w:hint="eastAsia"/>
              </w:rPr>
              <w:t>文件名称</w:t>
            </w:r>
          </w:p>
        </w:tc>
        <w:tc>
          <w:tcPr>
            <w:tcW w:w="9367" w:type="dxa"/>
            <w:shd w:val="clear" w:color="auto" w:fill="FFFFFF" w:themeFill="background1"/>
          </w:tcPr>
          <w:p>
            <w:r>
              <w:rPr>
                <w:rFonts w:hint="eastAsia"/>
              </w:rPr>
              <w:t>如：</w:t>
            </w:r>
            <w:r>
              <w:rPr>
                <w:rFonts w:hint="eastAsia"/>
              </w:rPr>
              <w:sym w:font="Wingdings" w:char="00FE"/>
            </w:r>
            <w:r>
              <w:rPr>
                <w:rFonts w:hint="eastAsia"/>
              </w:rPr>
              <w:t xml:space="preserve"> 管理手册第4.4章、《过程清单》</w:t>
            </w:r>
          </w:p>
        </w:tc>
        <w:tc>
          <w:tcPr>
            <w:tcW w:w="1590" w:type="dxa"/>
            <w:gridSpan w:val="2"/>
            <w:vMerge w:val="restart"/>
            <w:shd w:val="clear" w:color="auto" w:fill="FFFFFF" w:themeFill="background1"/>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044" w:type="dxa"/>
            <w:vMerge w:val="continue"/>
            <w:shd w:val="clear" w:color="auto" w:fill="FFFFFF" w:themeFill="background1"/>
          </w:tcPr>
          <w:p/>
        </w:tc>
        <w:tc>
          <w:tcPr>
            <w:tcW w:w="952" w:type="dxa"/>
            <w:vMerge w:val="continue"/>
            <w:shd w:val="clear" w:color="auto" w:fill="FFFFFF" w:themeFill="background1"/>
          </w:tcPr>
          <w:p/>
        </w:tc>
        <w:tc>
          <w:tcPr>
            <w:tcW w:w="761" w:type="dxa"/>
            <w:shd w:val="clear" w:color="auto" w:fill="FFFFFF" w:themeFill="background1"/>
          </w:tcPr>
          <w:p>
            <w:r>
              <w:rPr>
                <w:rFonts w:hint="eastAsia"/>
              </w:rPr>
              <w:t>运行证据</w:t>
            </w:r>
          </w:p>
        </w:tc>
        <w:tc>
          <w:tcPr>
            <w:tcW w:w="9367" w:type="dxa"/>
            <w:shd w:val="clear" w:color="auto" w:fill="FFFFFF" w:themeFill="background1"/>
          </w:tcPr>
          <w:p>
            <w:pPr>
              <w:spacing w:before="40" w:after="40"/>
              <w:rPr>
                <w:lang w:val="en-GB"/>
              </w:rPr>
            </w:pPr>
            <w:r>
              <w:rPr>
                <w:rFonts w:hint="eastAsia"/>
              </w:rPr>
              <w:t>组织考虑了内外部问题和相关方期望对环境管理体系的过程进行了确认，对输入、输出、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w:t>
            </w:r>
          </w:p>
          <w:p>
            <w:pPr>
              <w:spacing w:before="40" w:after="40"/>
              <w:rPr>
                <w:b/>
                <w:bCs/>
              </w:rPr>
            </w:pP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□建立FSMS □危害分析 □制订PRP和OPRP、HACCP计划 □生产/服务过程  □产品运输 </w:t>
            </w:r>
          </w:p>
          <w:p>
            <w:pPr>
              <w:spacing w:before="40" w:after="40"/>
              <w:rPr>
                <w:rFonts w:hint="default" w:eastAsia="宋体"/>
                <w:lang w:val="en-US" w:eastAsia="zh-CN"/>
              </w:rPr>
            </w:pPr>
            <w:r>
              <w:rPr>
                <w:rFonts w:hint="eastAsia"/>
              </w:rPr>
              <w:t xml:space="preserve">□设备维修   □人员培训 □PRP和OPRP、HACCP验证  </w:t>
            </w:r>
            <w:r>
              <w:rPr>
                <w:rFonts w:hint="eastAsia"/>
              </w:rPr>
              <w:sym w:font="Wingdings 2" w:char="0052"/>
            </w:r>
            <w:r>
              <w:rPr>
                <w:rFonts w:hint="eastAsia"/>
              </w:rPr>
              <w:t>其他——</w:t>
            </w:r>
            <w:r>
              <w:rPr>
                <w:rFonts w:hint="eastAsia"/>
                <w:lang w:val="en-US" w:eastAsia="zh-CN"/>
              </w:rPr>
              <w:t>虫鼠害控制</w:t>
            </w:r>
          </w:p>
          <w:p>
            <w:pPr>
              <w:rPr>
                <w:lang w:val="en-GB"/>
              </w:rPr>
            </w:pPr>
          </w:p>
          <w:p>
            <w:pPr>
              <w:rPr>
                <w:highlight w:val="cyan"/>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的</w:t>
            </w:r>
            <w:r>
              <w:rPr>
                <w:rFonts w:hint="eastAsia"/>
              </w:rPr>
              <w:t>分析</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c>
          <w:tcPr>
            <w:tcW w:w="1590" w:type="dxa"/>
            <w:gridSpan w:val="2"/>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4" w:type="dxa"/>
            <w:vMerge w:val="restart"/>
            <w:shd w:val="clear" w:color="auto" w:fill="FFFFFF" w:themeFill="background1"/>
          </w:tcPr>
          <w:p>
            <w:r>
              <w:rPr>
                <w:rFonts w:hint="eastAsia"/>
              </w:rPr>
              <w:t>领导作用与承诺</w:t>
            </w:r>
          </w:p>
        </w:tc>
        <w:tc>
          <w:tcPr>
            <w:tcW w:w="952" w:type="dxa"/>
            <w:vMerge w:val="restart"/>
            <w:shd w:val="clear" w:color="auto" w:fill="FFFFFF" w:themeFill="background1"/>
          </w:tcPr>
          <w:p>
            <w:r>
              <w:rPr>
                <w:rFonts w:hint="eastAsia"/>
              </w:rPr>
              <w:t>F5.1</w:t>
            </w:r>
          </w:p>
          <w:p/>
        </w:tc>
        <w:tc>
          <w:tcPr>
            <w:tcW w:w="761" w:type="dxa"/>
            <w:shd w:val="clear" w:color="auto" w:fill="FFFFFF" w:themeFill="background1"/>
          </w:tcPr>
          <w:p>
            <w:r>
              <w:rPr>
                <w:rFonts w:hint="eastAsia"/>
              </w:rPr>
              <w:t>文件名称</w:t>
            </w:r>
          </w:p>
        </w:tc>
        <w:tc>
          <w:tcPr>
            <w:tcW w:w="9367" w:type="dxa"/>
            <w:shd w:val="clear" w:color="auto" w:fill="FFFFFF" w:themeFill="background1"/>
          </w:tcPr>
          <w:p>
            <w:r>
              <w:rPr>
                <w:rFonts w:hint="eastAsia"/>
              </w:rPr>
              <w:t>如：管理手册第5.1章和“总经理岗位职责”</w:t>
            </w:r>
          </w:p>
        </w:tc>
        <w:tc>
          <w:tcPr>
            <w:tcW w:w="1590" w:type="dxa"/>
            <w:gridSpan w:val="2"/>
            <w:vMerge w:val="restart"/>
            <w:shd w:val="clear" w:color="auto" w:fill="FFFFFF" w:themeFill="background1"/>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044" w:type="dxa"/>
            <w:vMerge w:val="continue"/>
            <w:shd w:val="clear" w:color="auto" w:fill="FFFFFF" w:themeFill="background1"/>
          </w:tcPr>
          <w:p/>
        </w:tc>
        <w:tc>
          <w:tcPr>
            <w:tcW w:w="952" w:type="dxa"/>
            <w:vMerge w:val="continue"/>
            <w:shd w:val="clear" w:color="auto" w:fill="FFFFFF" w:themeFill="background1"/>
          </w:tcPr>
          <w:p/>
        </w:tc>
        <w:tc>
          <w:tcPr>
            <w:tcW w:w="761" w:type="dxa"/>
            <w:shd w:val="clear" w:color="auto" w:fill="FFFFFF" w:themeFill="background1"/>
          </w:tcPr>
          <w:p>
            <w:r>
              <w:rPr>
                <w:rFonts w:hint="eastAsia"/>
              </w:rPr>
              <w:t>运行证据</w:t>
            </w:r>
          </w:p>
        </w:tc>
        <w:tc>
          <w:tcPr>
            <w:tcW w:w="9367" w:type="dxa"/>
            <w:shd w:val="clear" w:color="auto" w:fill="FFFFFF" w:themeFill="background1"/>
          </w:tcPr>
          <w:p>
            <w:pPr>
              <w:rPr>
                <w:color w:val="000000"/>
                <w:szCs w:val="21"/>
              </w:rPr>
            </w:pPr>
            <w:r>
              <w:rPr>
                <w:rFonts w:hint="eastAsia"/>
                <w:color w:val="000000"/>
                <w:szCs w:val="21"/>
              </w:rPr>
              <w:t xml:space="preserve"> 与最高管理者沟通其领导作用与承诺：</w:t>
            </w:r>
          </w:p>
          <w:p>
            <w:pPr>
              <w:rPr>
                <w:color w:val="000000"/>
                <w:szCs w:val="21"/>
                <w:shd w:val="clear" w:color="FFFFFF" w:fill="D9D9D9"/>
              </w:rPr>
            </w:pPr>
            <w:r>
              <w:rPr>
                <w:rFonts w:hint="eastAsia"/>
                <w:color w:val="000000"/>
                <w:szCs w:val="21"/>
                <w:shd w:val="clear" w:color="FFFFFF" w:fill="D9D9D9"/>
              </w:rPr>
              <w:t>2018版标准</w:t>
            </w:r>
          </w:p>
          <w:p>
            <w:pPr>
              <w:rPr>
                <w:color w:val="000000"/>
                <w:szCs w:val="21"/>
              </w:rPr>
            </w:pPr>
            <w:r>
              <w:rPr>
                <w:rFonts w:hint="eastAsia"/>
                <w:color w:val="000000"/>
                <w:szCs w:val="21"/>
              </w:rPr>
              <w:sym w:font="Wingdings" w:char="00FE"/>
            </w:r>
            <w:r>
              <w:rPr>
                <w:rFonts w:hint="eastAsia"/>
                <w:b/>
                <w:bCs/>
                <w:color w:val="000000"/>
                <w:szCs w:val="21"/>
              </w:rPr>
              <w:t xml:space="preserve"> 确保为食品安全管理体系制定食品安全方针和食品安全目标， 并与组织的战略方向相一致；</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确保食品安全管理体系要求整合到组织的业务过程中</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确保获得食品安全管理体系所需的资源</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沟通有效食品安全管理的重要性， 符合食品安全管理体系要求、 法律法规要求和与食品安全有关的顾客要求</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确保对FSMS进行评估和保持，以实现其预期结果</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指导和支持员工为食品安全管理体系的有效性做出贡献</w:t>
            </w:r>
            <w:r>
              <w:rPr>
                <w:rFonts w:hint="eastAsia"/>
                <w:color w:val="000000"/>
                <w:szCs w:val="21"/>
              </w:rPr>
              <w:t>；</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推动持续改进</w:t>
            </w:r>
            <w:r>
              <w:rPr>
                <w:rFonts w:hint="eastAsia"/>
                <w:color w:val="000000"/>
                <w:szCs w:val="21"/>
              </w:rPr>
              <w:t>；</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支持其他管理者履行其相关领域的食品安全领导职责</w:t>
            </w:r>
            <w:r>
              <w:rPr>
                <w:rFonts w:hint="eastAsia"/>
                <w:color w:val="000000"/>
                <w:szCs w:val="21"/>
              </w:rPr>
              <w:t>；</w:t>
            </w:r>
          </w:p>
          <w:p>
            <w:pPr>
              <w:rPr>
                <w:color w:val="000000"/>
                <w:szCs w:val="21"/>
              </w:rPr>
            </w:pPr>
          </w:p>
          <w:p>
            <w:pPr>
              <w:rPr>
                <w:color w:val="000000"/>
                <w:szCs w:val="21"/>
              </w:rPr>
            </w:pPr>
            <w:r>
              <w:rPr>
                <w:rFonts w:hint="eastAsia"/>
                <w:color w:val="000000"/>
                <w:szCs w:val="21"/>
              </w:rPr>
              <w:sym w:font="Wingdings" w:char="00FE"/>
            </w:r>
            <w:r>
              <w:rPr>
                <w:rFonts w:hint="eastAsia"/>
                <w:color w:val="000000"/>
                <w:szCs w:val="21"/>
              </w:rPr>
              <w:t xml:space="preserve"> 覆盖了标准第5.1章的全面要求，</w:t>
            </w:r>
            <w:r>
              <w:rPr>
                <w:rFonts w:hint="eastAsia"/>
                <w:color w:val="000000"/>
                <w:szCs w:val="21"/>
              </w:rPr>
              <w:sym w:font="Wingdings" w:char="00A8"/>
            </w:r>
            <w:r>
              <w:rPr>
                <w:rFonts w:hint="eastAsia"/>
                <w:color w:val="000000"/>
                <w:szCs w:val="21"/>
              </w:rPr>
              <w:t xml:space="preserve"> 未覆盖标准第5.1章的全面要求，缺少：</w:t>
            </w:r>
            <w:r>
              <w:rPr>
                <w:rFonts w:hint="eastAsia"/>
                <w:color w:val="000000"/>
                <w:szCs w:val="21"/>
                <w:u w:val="single"/>
              </w:rPr>
              <w:t xml:space="preserve">         </w:t>
            </w:r>
          </w:p>
        </w:tc>
        <w:tc>
          <w:tcPr>
            <w:tcW w:w="1590" w:type="dxa"/>
            <w:gridSpan w:val="2"/>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4" w:type="dxa"/>
            <w:vMerge w:val="restart"/>
            <w:shd w:val="clear" w:color="auto" w:fill="FFFFFF" w:themeFill="background1"/>
          </w:tcPr>
          <w:p>
            <w:r>
              <w:rPr>
                <w:rFonts w:hint="eastAsia"/>
              </w:rPr>
              <w:t>食品安全方针</w:t>
            </w:r>
          </w:p>
        </w:tc>
        <w:tc>
          <w:tcPr>
            <w:tcW w:w="952" w:type="dxa"/>
            <w:vMerge w:val="restart"/>
            <w:shd w:val="clear" w:color="auto" w:fill="FFFFFF" w:themeFill="background1"/>
          </w:tcPr>
          <w:p>
            <w:r>
              <w:rPr>
                <w:rFonts w:hint="eastAsia"/>
              </w:rPr>
              <w:t>F5.2</w:t>
            </w:r>
          </w:p>
          <w:p/>
        </w:tc>
        <w:tc>
          <w:tcPr>
            <w:tcW w:w="761" w:type="dxa"/>
            <w:shd w:val="clear" w:color="auto" w:fill="FFFFFF" w:themeFill="background1"/>
          </w:tcPr>
          <w:p>
            <w:r>
              <w:rPr>
                <w:rFonts w:hint="eastAsia"/>
              </w:rPr>
              <w:t>文件名称</w:t>
            </w:r>
          </w:p>
        </w:tc>
        <w:tc>
          <w:tcPr>
            <w:tcW w:w="9367" w:type="dxa"/>
            <w:shd w:val="clear" w:color="auto" w:fill="FFFFFF" w:themeFill="background1"/>
          </w:tcPr>
          <w:p>
            <w:r>
              <w:rPr>
                <w:rFonts w:hint="eastAsia"/>
              </w:rPr>
              <w:t>如：</w:t>
            </w:r>
            <w:r>
              <w:rPr/>
              <w:sym w:font="Wingdings" w:char="00FE"/>
            </w:r>
            <w:r>
              <w:rPr>
                <w:rFonts w:hint="eastAsia"/>
              </w:rPr>
              <w:t>管理手册第5.2条款、</w:t>
            </w:r>
            <w:r>
              <w:rPr>
                <w:rFonts w:hint="eastAsia"/>
                <w:color w:val="000000"/>
                <w:szCs w:val="21"/>
              </w:rPr>
              <w:sym w:font="Wingdings" w:char="00FE"/>
            </w:r>
            <w:r>
              <w:rPr>
                <w:rFonts w:hint="eastAsia"/>
                <w:szCs w:val="21"/>
              </w:rPr>
              <w:t>“质量安全方针与目标”</w:t>
            </w:r>
          </w:p>
        </w:tc>
        <w:tc>
          <w:tcPr>
            <w:tcW w:w="1590" w:type="dxa"/>
            <w:gridSpan w:val="2"/>
            <w:vMerge w:val="restart"/>
            <w:shd w:val="clear" w:color="auto" w:fill="FFFFFF" w:themeFill="background1"/>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044" w:type="dxa"/>
            <w:vMerge w:val="continue"/>
            <w:shd w:val="clear" w:color="auto" w:fill="FFFFFF" w:themeFill="background1"/>
          </w:tcPr>
          <w:p/>
        </w:tc>
        <w:tc>
          <w:tcPr>
            <w:tcW w:w="952" w:type="dxa"/>
            <w:vMerge w:val="continue"/>
            <w:shd w:val="clear" w:color="auto" w:fill="FFFFFF" w:themeFill="background1"/>
          </w:tcPr>
          <w:p/>
        </w:tc>
        <w:tc>
          <w:tcPr>
            <w:tcW w:w="761" w:type="dxa"/>
            <w:shd w:val="clear" w:color="auto" w:fill="FFFFFF" w:themeFill="background1"/>
          </w:tcPr>
          <w:p>
            <w:r>
              <w:rPr>
                <w:rFonts w:hint="eastAsia"/>
              </w:rPr>
              <w:t>运行证据</w:t>
            </w:r>
          </w:p>
        </w:tc>
        <w:tc>
          <w:tcPr>
            <w:tcW w:w="9367" w:type="dxa"/>
            <w:shd w:val="clear" w:color="auto" w:fill="FFFFFF" w:themeFill="background1"/>
          </w:tcPr>
          <w:p>
            <w:pPr>
              <w:rPr>
                <w:u w:val="single"/>
              </w:rPr>
            </w:pPr>
            <w:r>
              <w:rPr>
                <w:rFonts w:hint="eastAsia"/>
                <w:color w:val="000000"/>
                <w:szCs w:val="21"/>
              </w:rPr>
              <w:t xml:space="preserve"> </w:t>
            </w:r>
            <w:r>
              <w:rPr>
                <w:rFonts w:hint="eastAsia"/>
              </w:rPr>
              <w:t>最高管理者制定了文件化的食品安全体系方针：</w:t>
            </w:r>
          </w:p>
          <w:p>
            <w:r>
              <w:rPr>
                <w:rFonts w:hint="eastAsia"/>
                <w:u w:val="single"/>
              </w:rPr>
              <w:t xml:space="preserve">  </w:t>
            </w:r>
            <w:r>
              <w:rPr>
                <w:rFonts w:hint="eastAsia"/>
                <w:b/>
                <w:bCs/>
                <w:szCs w:val="22"/>
                <w:u w:val="single"/>
              </w:rPr>
              <w:t>以客户对食品相关产品的质量安全关注为要求，规范操作，提供符合法规，符合客户需求的产品。</w:t>
            </w:r>
          </w:p>
          <w:p>
            <w:pPr>
              <w:rPr>
                <w:color w:val="000000"/>
                <w:szCs w:val="18"/>
              </w:rPr>
            </w:pPr>
            <w:r>
              <w:rPr>
                <w:rFonts w:hint="eastAsia"/>
                <w:color w:val="000000"/>
                <w:szCs w:val="18"/>
              </w:rPr>
              <w:t xml:space="preserve">      </w:t>
            </w:r>
          </w:p>
          <w:p>
            <w:r>
              <w:rPr>
                <w:rFonts w:hint="eastAsia"/>
              </w:rPr>
              <w:t>☑适应组织的宗旨和所处形势</w:t>
            </w:r>
          </w:p>
          <w:p>
            <w:pPr>
              <w:rPr>
                <w:lang w:val="en-GB"/>
              </w:rPr>
            </w:pPr>
            <w:r>
              <w:rPr>
                <w:rFonts w:hint="eastAsia"/>
              </w:rPr>
              <w:t>☑为制定食品安全目标提供框架</w:t>
            </w:r>
            <w:r>
              <w:rPr>
                <w:rFonts w:hint="eastAsia"/>
                <w:lang w:val="en-GB"/>
              </w:rPr>
              <w:t>。</w:t>
            </w:r>
          </w:p>
          <w:p>
            <w:r>
              <w:rPr>
                <w:rFonts w:hint="eastAsia"/>
              </w:rPr>
              <w:t xml:space="preserve">☑包括满足适用食品安全要求的承诺，包括立法/执法要求和顾客的相互同意的食品安全要求； </w:t>
            </w:r>
          </w:p>
          <w:p>
            <w:r>
              <w:rPr>
                <w:rFonts w:hint="eastAsia"/>
              </w:rPr>
              <w:t>☑应对内部和外部沟通</w:t>
            </w:r>
          </w:p>
          <w:p>
            <w:pPr>
              <w:rPr>
                <w:color w:val="000000"/>
              </w:rPr>
            </w:pPr>
            <w:r>
              <w:rPr>
                <w:rFonts w:hint="eastAsia"/>
              </w:rPr>
              <w:t>☑包括持续改进食品安全管理体系的承诺</w:t>
            </w:r>
          </w:p>
          <w:p>
            <w:pPr>
              <w:rPr>
                <w:color w:val="000000"/>
              </w:rPr>
            </w:pPr>
            <w:r>
              <w:rPr>
                <w:rFonts w:hint="eastAsia"/>
              </w:rPr>
              <w:t>☑解决需求确保食品安全相关的能力</w:t>
            </w:r>
          </w:p>
          <w:p/>
          <w:p>
            <w:r>
              <w:rPr>
                <w:rFonts w:hint="eastAsia"/>
              </w:rPr>
              <w:t>☑在组织内得到沟通、理解和应用，通过：</w:t>
            </w:r>
            <w:r>
              <w:rPr>
                <w:rFonts w:hint="eastAsia"/>
              </w:rPr>
              <w:sym w:font="Wingdings" w:char="00FE"/>
            </w:r>
            <w:r>
              <w:rPr>
                <w:rFonts w:hint="eastAsia"/>
              </w:rPr>
              <w:t xml:space="preserve">展板  </w:t>
            </w:r>
            <w:r>
              <w:rPr>
                <w:rFonts w:hint="eastAsia"/>
              </w:rPr>
              <w:sym w:font="Wingdings" w:char="00FE"/>
            </w:r>
            <w:r>
              <w:rPr>
                <w:rFonts w:hint="eastAsia"/>
              </w:rPr>
              <w:t xml:space="preserve">标语  </w:t>
            </w:r>
            <w:r>
              <w:rPr>
                <w:rFonts w:hint="eastAsia"/>
              </w:rPr>
              <w:sym w:font="Wingdings" w:char="00FE"/>
            </w:r>
            <w:r>
              <w:rPr>
                <w:rFonts w:hint="eastAsia"/>
              </w:rPr>
              <w:t xml:space="preserve">会议  </w:t>
            </w:r>
            <w:r>
              <w:rPr>
                <w:rFonts w:hint="eastAsia"/>
              </w:rPr>
              <w:sym w:font="Wingdings" w:char="00FE"/>
            </w:r>
            <w:r>
              <w:rPr>
                <w:rFonts w:hint="eastAsia"/>
              </w:rPr>
              <w:t xml:space="preserve">文件发放   </w:t>
            </w:r>
            <w:r>
              <w:rPr>
                <w:rFonts w:hint="eastAsia"/>
              </w:rPr>
              <w:sym w:font="Wingdings" w:char="00A8"/>
            </w:r>
            <w:r>
              <w:rPr>
                <w:rFonts w:hint="eastAsia"/>
              </w:rPr>
              <w:t xml:space="preserve">其他  </w:t>
            </w:r>
          </w:p>
          <w:p>
            <w:r>
              <w:rPr>
                <w:rFonts w:hint="eastAsia"/>
              </w:rPr>
              <w:t>☑在相关方有需要时提供。通过：</w:t>
            </w:r>
            <w:r>
              <w:rPr>
                <w:rFonts w:hint="eastAsia"/>
              </w:rPr>
              <w:sym w:font="Wingdings" w:char="00A8"/>
            </w:r>
            <w:r>
              <w:rPr>
                <w:rFonts w:hint="eastAsia"/>
              </w:rPr>
              <w:t xml:space="preserve">网站 </w:t>
            </w:r>
            <w:r>
              <w:rPr>
                <w:rFonts w:hint="eastAsia"/>
              </w:rPr>
              <w:sym w:font="Wingdings" w:char="00FE"/>
            </w:r>
            <w:r>
              <w:rPr>
                <w:rFonts w:hint="eastAsia"/>
              </w:rPr>
              <w:t xml:space="preserve">宣传册 </w:t>
            </w:r>
            <w:r>
              <w:rPr>
                <w:rFonts w:hint="eastAsia"/>
              </w:rPr>
              <w:sym w:font="Wingdings" w:char="00A8"/>
            </w:r>
            <w:r>
              <w:rPr>
                <w:rFonts w:hint="eastAsia"/>
              </w:rPr>
              <w:t>其他</w:t>
            </w:r>
          </w:p>
          <w:p/>
        </w:tc>
        <w:tc>
          <w:tcPr>
            <w:tcW w:w="1590" w:type="dxa"/>
            <w:gridSpan w:val="2"/>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4" w:type="dxa"/>
            <w:vMerge w:val="restart"/>
            <w:shd w:val="clear" w:color="auto" w:fill="FFFFFF" w:themeFill="background1"/>
          </w:tcPr>
          <w:p>
            <w:r>
              <w:rPr>
                <w:rFonts w:hint="eastAsia"/>
              </w:rPr>
              <w:t>组织的角色、职责和权限</w:t>
            </w:r>
          </w:p>
          <w:p/>
        </w:tc>
        <w:tc>
          <w:tcPr>
            <w:tcW w:w="952" w:type="dxa"/>
            <w:vMerge w:val="restart"/>
            <w:shd w:val="clear" w:color="auto" w:fill="FFFFFF" w:themeFill="background1"/>
          </w:tcPr>
          <w:p>
            <w:r>
              <w:rPr>
                <w:rFonts w:hint="eastAsia"/>
              </w:rPr>
              <w:t>F5.3</w:t>
            </w:r>
          </w:p>
          <w:p/>
        </w:tc>
        <w:tc>
          <w:tcPr>
            <w:tcW w:w="761" w:type="dxa"/>
            <w:shd w:val="clear" w:color="auto" w:fill="FFFFFF" w:themeFill="background1"/>
          </w:tcPr>
          <w:p>
            <w:r>
              <w:rPr>
                <w:rFonts w:hint="eastAsia"/>
              </w:rPr>
              <w:t>文件名称</w:t>
            </w:r>
          </w:p>
        </w:tc>
        <w:tc>
          <w:tcPr>
            <w:tcW w:w="9367" w:type="dxa"/>
            <w:shd w:val="clear" w:color="auto" w:fill="FFFFFF" w:themeFill="background1"/>
          </w:tcPr>
          <w:p>
            <w:r>
              <w:rPr>
                <w:rFonts w:hint="eastAsia"/>
              </w:rPr>
              <w:t>如：管理手册第5.3条款</w:t>
            </w:r>
          </w:p>
        </w:tc>
        <w:tc>
          <w:tcPr>
            <w:tcW w:w="1590" w:type="dxa"/>
            <w:gridSpan w:val="2"/>
            <w:vMerge w:val="restart"/>
            <w:shd w:val="clear" w:color="auto" w:fill="FFFFFF" w:themeFill="background1"/>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2044" w:type="dxa"/>
            <w:vMerge w:val="continue"/>
            <w:shd w:val="clear" w:color="auto" w:fill="FFFFFF" w:themeFill="background1"/>
          </w:tcPr>
          <w:p/>
        </w:tc>
        <w:tc>
          <w:tcPr>
            <w:tcW w:w="952" w:type="dxa"/>
            <w:vMerge w:val="continue"/>
            <w:shd w:val="clear" w:color="auto" w:fill="FFFFFF" w:themeFill="background1"/>
          </w:tcPr>
          <w:p/>
        </w:tc>
        <w:tc>
          <w:tcPr>
            <w:tcW w:w="761" w:type="dxa"/>
            <w:shd w:val="clear" w:color="auto" w:fill="FFFFFF" w:themeFill="background1"/>
          </w:tcPr>
          <w:p>
            <w:r>
              <w:rPr>
                <w:rFonts w:hint="eastAsia"/>
              </w:rPr>
              <w:t>运行证据</w:t>
            </w:r>
          </w:p>
        </w:tc>
        <w:tc>
          <w:tcPr>
            <w:tcW w:w="9367" w:type="dxa"/>
            <w:shd w:val="clear" w:color="auto" w:fill="FFFFFF" w:themeFill="background1"/>
          </w:tcPr>
          <w:p>
            <w:r>
              <w:rPr>
                <w:rFonts w:hint="eastAsia"/>
              </w:rPr>
              <w:t>最高管理者确定了组织架构及相关岗位的职责、权限，并进行了全员的沟通和理解；</w:t>
            </w:r>
          </w:p>
          <w:p>
            <w:r>
              <w:rPr>
                <w:rFonts w:hint="eastAsia"/>
              </w:rPr>
              <w:t>如：</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过程过程</w:t>
                  </w:r>
                </w:p>
              </w:tc>
              <w:tc>
                <w:tcPr>
                  <w:tcW w:w="2261" w:type="dxa"/>
                </w:tcPr>
                <w:p>
                  <w:r>
                    <w:rPr>
                      <w:rFonts w:hint="eastAsia"/>
                    </w:rPr>
                    <w:t>主管部门名称</w:t>
                  </w:r>
                </w:p>
              </w:tc>
              <w:tc>
                <w:tcPr>
                  <w:tcW w:w="2261"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食品安全管理体系策划和推动</w:t>
                  </w:r>
                </w:p>
              </w:tc>
              <w:tc>
                <w:tcPr>
                  <w:tcW w:w="2261" w:type="dxa"/>
                </w:tcPr>
                <w:p>
                  <w:r>
                    <w:rPr>
                      <w:rFonts w:hint="eastAsia"/>
                    </w:rPr>
                    <w:t>食品安全小组</w:t>
                  </w:r>
                </w:p>
              </w:tc>
              <w:tc>
                <w:tcPr>
                  <w:tcW w:w="2261" w:type="dxa"/>
                </w:tcPr>
                <w:p>
                  <w:r>
                    <w:rPr>
                      <w:rFonts w:hint="eastAsia"/>
                    </w:rPr>
                    <w:t>PRP和HACCP实施</w:t>
                  </w:r>
                </w:p>
              </w:tc>
              <w:tc>
                <w:tcPr>
                  <w:tcW w:w="2261" w:type="dxa"/>
                </w:tcPr>
                <w:p>
                  <w:r>
                    <w:rPr>
                      <w:rFonts w:hint="eastAsia"/>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采购控制</w:t>
                  </w:r>
                </w:p>
              </w:tc>
              <w:tc>
                <w:tcPr>
                  <w:tcW w:w="2261" w:type="dxa"/>
                </w:tcPr>
                <w:p>
                  <w:r>
                    <w:rPr>
                      <w:rFonts w:hint="eastAsia"/>
                    </w:rPr>
                    <w:t>管理部</w:t>
                  </w:r>
                </w:p>
              </w:tc>
              <w:tc>
                <w:tcPr>
                  <w:tcW w:w="2261" w:type="dxa"/>
                </w:tcPr>
                <w:p>
                  <w:r>
                    <w:rPr>
                      <w:rFonts w:hint="eastAsia"/>
                    </w:rPr>
                    <w:t>FSMS验证和确认</w:t>
                  </w:r>
                </w:p>
              </w:tc>
              <w:tc>
                <w:tcPr>
                  <w:tcW w:w="2261" w:type="dxa"/>
                </w:tcPr>
                <w:p>
                  <w:r>
                    <w:rPr>
                      <w:rFonts w:hint="eastAsia"/>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外部沟通</w:t>
                  </w:r>
                </w:p>
              </w:tc>
              <w:tc>
                <w:tcPr>
                  <w:tcW w:w="2261" w:type="dxa"/>
                </w:tcPr>
                <w:p>
                  <w:r>
                    <w:rPr>
                      <w:rFonts w:hint="eastAsia"/>
                    </w:rPr>
                    <w:t>管理部</w:t>
                  </w:r>
                </w:p>
              </w:tc>
              <w:tc>
                <w:tcPr>
                  <w:tcW w:w="2261" w:type="dxa"/>
                </w:tcPr>
                <w:p/>
              </w:tc>
              <w:tc>
                <w:tcPr>
                  <w:tcW w:w="2261" w:type="dxa"/>
                </w:tcPr>
                <w:p/>
              </w:tc>
            </w:tr>
          </w:tbl>
          <w:p/>
          <w:p>
            <w:r>
              <w:rPr>
                <w:rFonts w:hint="eastAsia"/>
              </w:rPr>
              <w:sym w:font="Wingdings" w:char="00FE"/>
            </w:r>
            <w:r>
              <w:rPr>
                <w:rFonts w:hint="eastAsia"/>
              </w:rPr>
              <w:t>HACCP小组长：</w:t>
            </w:r>
            <w:r>
              <w:rPr>
                <w:rFonts w:hint="eastAsia"/>
                <w:u w:val="single"/>
              </w:rPr>
              <w:t xml:space="preserve">    林爱梅女士   </w:t>
            </w:r>
            <w:r>
              <w:rPr>
                <w:rFonts w:hint="eastAsia"/>
              </w:rPr>
              <w:t>，</w:t>
            </w:r>
          </w:p>
          <w:p/>
          <w:p>
            <w:r>
              <w:t>食品安全组长负责：</w:t>
            </w:r>
          </w:p>
          <w:p>
            <w:r>
              <w:rPr>
                <w:rFonts w:hint="eastAsia"/>
              </w:rPr>
              <w:sym w:font="Wingdings" w:char="00FE"/>
            </w:r>
            <w:r>
              <w:rPr>
                <w:rFonts w:hint="eastAsia"/>
              </w:rPr>
              <w:t xml:space="preserve">  </w:t>
            </w:r>
            <w:r>
              <w:t>确保FSMS的建立、实施、维护和更新；</w:t>
            </w:r>
          </w:p>
          <w:p>
            <w:r>
              <w:rPr>
                <w:rFonts w:hint="eastAsia"/>
              </w:rPr>
              <w:sym w:font="Wingdings" w:char="00FE"/>
            </w:r>
            <w:r>
              <w:rPr>
                <w:rFonts w:hint="eastAsia"/>
              </w:rPr>
              <w:t xml:space="preserve">  </w:t>
            </w:r>
            <w:r>
              <w:t>管理和组织食品安全小组的工作；</w:t>
            </w:r>
          </w:p>
          <w:p>
            <w:r>
              <w:rPr>
                <w:rFonts w:hint="eastAsia"/>
              </w:rPr>
              <w:sym w:font="Wingdings" w:char="00FE"/>
            </w:r>
            <w:r>
              <w:rPr>
                <w:rFonts w:hint="eastAsia"/>
              </w:rPr>
              <w:t xml:space="preserve">  </w:t>
            </w:r>
            <w:r>
              <w:t>确保食品安全团队的相关培训和能力；</w:t>
            </w:r>
          </w:p>
          <w:p>
            <w:r>
              <w:rPr>
                <w:rFonts w:hint="eastAsia"/>
              </w:rPr>
              <w:sym w:font="Wingdings" w:char="00FE"/>
            </w:r>
            <w:r>
              <w:rPr>
                <w:rFonts w:hint="eastAsia"/>
              </w:rPr>
              <w:t xml:space="preserve">  </w:t>
            </w:r>
            <w:r>
              <w:t>向最高管理层报告FSMS的有效性和适宜性。</w:t>
            </w:r>
          </w:p>
          <w:p/>
          <w:p>
            <w:r>
              <w:t>所有人员有责任向</w:t>
            </w:r>
            <w:r>
              <w:rPr>
                <w:rFonts w:hint="eastAsia"/>
              </w:rPr>
              <w:sym w:font="Wingdings" w:char="00FE"/>
            </w:r>
            <w:r>
              <w:rPr>
                <w:rFonts w:hint="eastAsia"/>
              </w:rPr>
              <w:t xml:space="preserve">食品安全组长 </w:t>
            </w:r>
            <w:r>
              <w:rPr>
                <w:rFonts w:hint="eastAsia"/>
              </w:rPr>
              <w:sym w:font="Wingdings" w:char="00A8"/>
            </w:r>
            <w:r>
              <w:rPr>
                <w:rFonts w:hint="eastAsia"/>
              </w:rPr>
              <w:t xml:space="preserve">食品安全小组成员 </w:t>
            </w:r>
            <w:r>
              <w:t>报告与FSMS有关的问题</w:t>
            </w:r>
          </w:p>
        </w:tc>
        <w:tc>
          <w:tcPr>
            <w:tcW w:w="1590" w:type="dxa"/>
            <w:gridSpan w:val="2"/>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4" w:type="dxa"/>
            <w:vMerge w:val="restart"/>
          </w:tcPr>
          <w:p>
            <w:pPr>
              <w:rPr>
                <w:color w:val="000000"/>
                <w:szCs w:val="21"/>
              </w:rPr>
            </w:pPr>
            <w:r>
              <w:rPr>
                <w:rFonts w:hint="eastAsia"/>
                <w:color w:val="000000"/>
                <w:szCs w:val="21"/>
              </w:rPr>
              <w:t>应对风险和机遇的措施</w:t>
            </w:r>
          </w:p>
          <w:p/>
        </w:tc>
        <w:tc>
          <w:tcPr>
            <w:tcW w:w="952" w:type="dxa"/>
            <w:vMerge w:val="restart"/>
          </w:tcPr>
          <w:p>
            <w:r>
              <w:rPr>
                <w:rFonts w:hint="eastAsia"/>
                <w:color w:val="000000"/>
                <w:szCs w:val="21"/>
              </w:rPr>
              <w:t>F6.1.1</w:t>
            </w:r>
          </w:p>
        </w:tc>
        <w:tc>
          <w:tcPr>
            <w:tcW w:w="761" w:type="dxa"/>
          </w:tcPr>
          <w:p>
            <w:r>
              <w:rPr>
                <w:rFonts w:hint="eastAsia"/>
              </w:rPr>
              <w:t>文件名称</w:t>
            </w:r>
          </w:p>
        </w:tc>
        <w:tc>
          <w:tcPr>
            <w:tcW w:w="9367" w:type="dxa"/>
          </w:tcPr>
          <w:p>
            <w:r>
              <w:rPr>
                <w:rFonts w:hint="eastAsia"/>
              </w:rPr>
              <w:t>如：</w:t>
            </w:r>
            <w:r>
              <w:rPr/>
              <w:sym w:font="Wingdings" w:char="00FE"/>
            </w:r>
            <w:r>
              <w:rPr>
                <w:rFonts w:hint="eastAsia"/>
              </w:rPr>
              <w:t xml:space="preserve">手册第6.1条款 </w:t>
            </w:r>
            <w:r>
              <w:rPr/>
              <w:sym w:font="Wingdings" w:char="00FE"/>
            </w:r>
            <w:r>
              <w:rPr>
                <w:rFonts w:hint="eastAsia"/>
              </w:rPr>
              <w:t>《</w:t>
            </w:r>
            <w:r>
              <w:rPr>
                <w:rFonts w:hint="eastAsia"/>
                <w:color w:val="000000"/>
                <w:szCs w:val="21"/>
              </w:rPr>
              <w:t>风险和机遇</w:t>
            </w:r>
            <w:r>
              <w:rPr>
                <w:rFonts w:hint="eastAsia"/>
              </w:rPr>
              <w:t>控制程序》</w:t>
            </w:r>
          </w:p>
        </w:tc>
        <w:tc>
          <w:tcPr>
            <w:tcW w:w="1590" w:type="dxa"/>
            <w:gridSpan w:val="2"/>
            <w:vMerge w:val="restart"/>
          </w:tcPr>
          <w:p/>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4" w:type="dxa"/>
            <w:vMerge w:val="continue"/>
          </w:tcPr>
          <w:p/>
        </w:tc>
        <w:tc>
          <w:tcPr>
            <w:tcW w:w="952" w:type="dxa"/>
            <w:vMerge w:val="continue"/>
          </w:tcPr>
          <w:p>
            <w:pPr>
              <w:rPr>
                <w:color w:val="000000"/>
                <w:szCs w:val="21"/>
              </w:rPr>
            </w:pPr>
          </w:p>
        </w:tc>
        <w:tc>
          <w:tcPr>
            <w:tcW w:w="761" w:type="dxa"/>
          </w:tcPr>
          <w:p>
            <w:r>
              <w:rPr>
                <w:rFonts w:hint="eastAsia"/>
              </w:rPr>
              <w:t>运行证据</w:t>
            </w:r>
          </w:p>
        </w:tc>
        <w:tc>
          <w:tcPr>
            <w:tcW w:w="9367" w:type="dxa"/>
          </w:tcPr>
          <w:p>
            <w:r>
              <w:rPr>
                <w:rFonts w:hint="eastAsia"/>
              </w:rPr>
              <w:t>分析风险的方法：</w:t>
            </w:r>
            <w:r>
              <w:rPr>
                <w:rFonts w:hint="eastAsia"/>
              </w:rPr>
              <w:sym w:font="Wingdings" w:char="00FE"/>
            </w:r>
            <w:r>
              <w:rPr>
                <w:rFonts w:hint="eastAsia"/>
              </w:rPr>
              <w:t xml:space="preserve">头脑风暴法 </w:t>
            </w:r>
            <w:r>
              <w:rPr>
                <w:rFonts w:hint="eastAsia"/>
              </w:rPr>
              <w:sym w:font="Wingdings" w:char="00A8"/>
            </w:r>
            <w:r>
              <w:rPr>
                <w:rFonts w:hint="eastAsia"/>
              </w:rPr>
              <w:t>FMEA（潜在失效模式分析）</w:t>
            </w:r>
            <w:r>
              <w:rPr>
                <w:rFonts w:hint="eastAsia"/>
              </w:rPr>
              <w:sym w:font="Wingdings" w:char="00A8"/>
            </w:r>
            <w:r>
              <w:rPr>
                <w:rFonts w:hint="eastAsia"/>
              </w:rPr>
              <w:t>其他</w:t>
            </w:r>
          </w:p>
          <w:p/>
          <w:p>
            <w:r>
              <w:rPr>
                <w:rFonts w:hint="eastAsia"/>
              </w:rPr>
              <w:t xml:space="preserve">应对风险的措施类型包括： </w:t>
            </w:r>
          </w:p>
          <w:p>
            <w:r>
              <w:rPr>
                <w:rFonts w:hint="eastAsia"/>
              </w:rPr>
              <w:sym w:font="Wingdings" w:char="00FE"/>
            </w:r>
            <w:r>
              <w:rPr>
                <w:rFonts w:hint="eastAsia"/>
              </w:rPr>
              <w:t xml:space="preserve">规避风险 </w:t>
            </w:r>
            <w:r>
              <w:rPr>
                <w:rFonts w:hint="eastAsia"/>
              </w:rPr>
              <w:sym w:font="Wingdings" w:char="00FE"/>
            </w:r>
            <w:r>
              <w:rPr>
                <w:rFonts w:hint="eastAsia"/>
              </w:rPr>
              <w:t>为寻求机遇承担风险、</w:t>
            </w:r>
            <w:r>
              <w:rPr>
                <w:rFonts w:hint="eastAsia"/>
              </w:rPr>
              <w:sym w:font="Wingdings" w:char="00FE"/>
            </w:r>
            <w:r>
              <w:rPr>
                <w:rFonts w:hint="eastAsia"/>
              </w:rPr>
              <w:t xml:space="preserve">消除风险源 </w:t>
            </w:r>
            <w:r>
              <w:rPr>
                <w:rFonts w:hint="eastAsia"/>
              </w:rPr>
              <w:sym w:font="Wingdings" w:char="00FE"/>
            </w:r>
            <w:r>
              <w:rPr>
                <w:rFonts w:hint="eastAsia"/>
              </w:rPr>
              <w:t>改变风险的可能性和后果、</w:t>
            </w:r>
            <w:r>
              <w:rPr>
                <w:rFonts w:hint="eastAsia"/>
              </w:rPr>
              <w:sym w:font="Wingdings" w:char="00FE"/>
            </w:r>
            <w:r>
              <w:rPr>
                <w:rFonts w:hint="eastAsia"/>
              </w:rPr>
              <w:t xml:space="preserve">分担风险 </w:t>
            </w:r>
            <w:r>
              <w:rPr>
                <w:rFonts w:hint="eastAsia"/>
              </w:rPr>
              <w:sym w:font="Wingdings" w:char="00FE"/>
            </w:r>
            <w:r>
              <w:rPr>
                <w:rFonts w:hint="eastAsia"/>
              </w:rPr>
              <w:t xml:space="preserve">通过明智决策接受风险的存在 </w:t>
            </w:r>
            <w:r>
              <w:rPr>
                <w:rFonts w:hint="eastAsia"/>
              </w:rPr>
              <w:sym w:font="Wingdings" w:char="00A8"/>
            </w:r>
            <w:r>
              <w:rPr>
                <w:rFonts w:hint="eastAsia"/>
              </w:rPr>
              <w:t>其他</w:t>
            </w:r>
          </w:p>
          <w:p/>
          <w:p>
            <w:r>
              <w:rPr>
                <w:rFonts w:hint="eastAsia"/>
              </w:rPr>
              <w:t xml:space="preserve">列举2~3项应对主要风险的描述：         </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4436"/>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pPr>
                    <w:rPr>
                      <w:highlight w:val="none"/>
                    </w:rPr>
                  </w:pPr>
                  <w:r>
                    <w:rPr>
                      <w:rFonts w:hint="eastAsia"/>
                      <w:highlight w:val="none"/>
                    </w:rPr>
                    <w:t>主要的风险描述</w:t>
                  </w:r>
                </w:p>
              </w:tc>
              <w:tc>
                <w:tcPr>
                  <w:tcW w:w="4436" w:type="dxa"/>
                </w:tcPr>
                <w:p>
                  <w:pPr>
                    <w:rPr>
                      <w:szCs w:val="24"/>
                      <w:highlight w:val="none"/>
                    </w:rPr>
                  </w:pPr>
                  <w:r>
                    <w:rPr>
                      <w:rFonts w:hint="eastAsia"/>
                      <w:highlight w:val="none"/>
                    </w:rPr>
                    <w:t>应对措施</w:t>
                  </w:r>
                </w:p>
              </w:tc>
              <w:tc>
                <w:tcPr>
                  <w:tcW w:w="2080"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vAlign w:val="center"/>
                </w:tcPr>
                <w:p>
                  <w:pPr>
                    <w:rPr>
                      <w:rFonts w:hint="default" w:eastAsia="宋体"/>
                      <w:szCs w:val="22"/>
                      <w:highlight w:val="none"/>
                      <w:lang w:val="en-US" w:eastAsia="zh-CN"/>
                    </w:rPr>
                  </w:pPr>
                  <w:r>
                    <w:rPr>
                      <w:rFonts w:hint="eastAsia"/>
                      <w:szCs w:val="22"/>
                      <w:highlight w:val="none"/>
                      <w:lang w:val="en-US" w:eastAsia="zh-CN"/>
                    </w:rPr>
                    <w:t>产品不能及时发货</w:t>
                  </w:r>
                </w:p>
              </w:tc>
              <w:tc>
                <w:tcPr>
                  <w:tcW w:w="4436" w:type="dxa"/>
                  <w:vAlign w:val="center"/>
                </w:tcPr>
                <w:p>
                  <w:pPr>
                    <w:numPr>
                      <w:ilvl w:val="0"/>
                      <w:numId w:val="1"/>
                    </w:numPr>
                    <w:rPr>
                      <w:rFonts w:hint="default"/>
                      <w:highlight w:val="none"/>
                      <w:lang w:val="en-US" w:eastAsia="zh-CN"/>
                    </w:rPr>
                  </w:pPr>
                  <w:r>
                    <w:rPr>
                      <w:rFonts w:hint="eastAsia"/>
                      <w:highlight w:val="none"/>
                      <w:lang w:val="en-US" w:eastAsia="zh-CN"/>
                    </w:rPr>
                    <w:t>合理安排客户订单；</w:t>
                  </w:r>
                </w:p>
                <w:p>
                  <w:pPr>
                    <w:pStyle w:val="2"/>
                    <w:numPr>
                      <w:ilvl w:val="0"/>
                      <w:numId w:val="1"/>
                    </w:numPr>
                    <w:ind w:left="0" w:leftChars="0" w:firstLine="0" w:firstLineChars="0"/>
                    <w:rPr>
                      <w:rFonts w:hint="default"/>
                      <w:highlight w:val="none"/>
                      <w:lang w:val="en-US" w:eastAsia="zh-CN"/>
                    </w:rPr>
                  </w:pPr>
                  <w:r>
                    <w:rPr>
                      <w:rFonts w:hint="eastAsia"/>
                      <w:highlight w:val="none"/>
                      <w:lang w:val="en-US" w:eastAsia="zh-CN"/>
                    </w:rPr>
                    <w:t>合格安排货运船只；</w:t>
                  </w:r>
                </w:p>
              </w:tc>
              <w:tc>
                <w:tcPr>
                  <w:tcW w:w="2080"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vAlign w:val="center"/>
                </w:tcPr>
                <w:p>
                  <w:pPr>
                    <w:rPr>
                      <w:szCs w:val="22"/>
                      <w:highlight w:val="yellow"/>
                    </w:rPr>
                  </w:pPr>
                </w:p>
              </w:tc>
              <w:tc>
                <w:tcPr>
                  <w:tcW w:w="4436" w:type="dxa"/>
                  <w:vAlign w:val="center"/>
                </w:tcPr>
                <w:p>
                  <w:pPr>
                    <w:rPr>
                      <w:szCs w:val="22"/>
                      <w:highlight w:val="yellow"/>
                    </w:rPr>
                  </w:pPr>
                </w:p>
              </w:tc>
              <w:tc>
                <w:tcPr>
                  <w:tcW w:w="2080"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vAlign w:val="center"/>
                </w:tcPr>
                <w:p>
                  <w:pPr>
                    <w:widowControl/>
                    <w:jc w:val="left"/>
                    <w:textAlignment w:val="center"/>
                    <w:rPr>
                      <w:szCs w:val="24"/>
                      <w:highlight w:val="yellow"/>
                    </w:rPr>
                  </w:pPr>
                </w:p>
              </w:tc>
              <w:tc>
                <w:tcPr>
                  <w:tcW w:w="4436" w:type="dxa"/>
                  <w:vAlign w:val="center"/>
                </w:tcPr>
                <w:p>
                  <w:pPr>
                    <w:widowControl/>
                    <w:jc w:val="left"/>
                    <w:textAlignment w:val="center"/>
                    <w:rPr>
                      <w:highlight w:val="yellow"/>
                    </w:rPr>
                  </w:pPr>
                </w:p>
              </w:tc>
              <w:tc>
                <w:tcPr>
                  <w:tcW w:w="2080" w:type="dxa"/>
                </w:tcPr>
                <w:p>
                  <w:pPr>
                    <w:rPr>
                      <w:highlight w:val="yellow"/>
                    </w:rPr>
                  </w:pPr>
                </w:p>
              </w:tc>
            </w:tr>
          </w:tbl>
          <w:p/>
          <w:p>
            <w:r>
              <w:rPr>
                <w:rFonts w:hint="eastAsia"/>
              </w:rPr>
              <w:t xml:space="preserve">应对机遇的措施类型包括： </w:t>
            </w:r>
          </w:p>
          <w:p>
            <w:r>
              <w:rPr>
                <w:rFonts w:hint="eastAsia"/>
              </w:rPr>
              <w:sym w:font="Wingdings" w:char="00FE"/>
            </w:r>
            <w:r>
              <w:rPr>
                <w:rFonts w:hint="eastAsia"/>
              </w:rPr>
              <w:t>采用</w:t>
            </w:r>
            <w:r>
              <w:t>新</w:t>
            </w:r>
            <w:r>
              <w:rPr>
                <w:rFonts w:hint="eastAsia"/>
              </w:rPr>
              <w:t>实践</w:t>
            </w:r>
            <w:r>
              <w:t>（修改产品或工艺）</w:t>
            </w:r>
            <w:r>
              <w:rPr>
                <w:rFonts w:hint="eastAsia"/>
              </w:rPr>
              <w:t xml:space="preserve"> </w:t>
            </w:r>
            <w:r>
              <w:rPr>
                <w:rFonts w:hint="eastAsia"/>
              </w:rPr>
              <w:sym w:font="Wingdings" w:char="00FE"/>
            </w:r>
            <w:r>
              <w:t>使用新技术</w:t>
            </w:r>
            <w:r>
              <w:rPr>
                <w:rFonts w:hint="eastAsia"/>
              </w:rPr>
              <w:t xml:space="preserve">  </w:t>
            </w:r>
            <w:r>
              <w:rPr>
                <w:rFonts w:hint="eastAsia"/>
              </w:rPr>
              <w:sym w:font="Wingdings" w:char="00FE"/>
            </w:r>
            <w:r>
              <w:rPr>
                <w:rFonts w:hint="eastAsia"/>
              </w:rPr>
              <w:t xml:space="preserve">其他可取的和可行的方法  </w:t>
            </w:r>
            <w:r>
              <w:rPr>
                <w:rFonts w:hint="eastAsia"/>
              </w:rPr>
              <w:sym w:font="Wingdings" w:char="00A8"/>
            </w:r>
            <w:r>
              <w:rPr>
                <w:rFonts w:hint="eastAsia"/>
              </w:rPr>
              <w:t>其他</w:t>
            </w:r>
          </w:p>
          <w:p>
            <w:pPr>
              <w:rPr>
                <w:highlight w:val="yellow"/>
              </w:rPr>
            </w:pPr>
          </w:p>
          <w:p>
            <w:r>
              <w:rPr>
                <w:rFonts w:hint="eastAsia"/>
              </w:rPr>
              <w:t>列举2~3项应对重要机遇的描述：</w:t>
            </w:r>
          </w:p>
          <w:tbl>
            <w:tblPr>
              <w:tblStyle w:val="9"/>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376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主要的机遇描述</w:t>
                  </w:r>
                </w:p>
              </w:tc>
              <w:tc>
                <w:tcPr>
                  <w:tcW w:w="3760" w:type="dxa"/>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应对措施</w:t>
                  </w:r>
                </w:p>
              </w:tc>
              <w:tc>
                <w:tcPr>
                  <w:tcW w:w="2071" w:type="dxa"/>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vAlign w:val="center"/>
                </w:tcPr>
                <w:p>
                  <w:pPr>
                    <w:widowControl/>
                    <w:jc w:val="left"/>
                    <w:textAlignment w:val="center"/>
                    <w:rPr>
                      <w:rFonts w:hint="default" w:cs="宋体" w:asciiTheme="minorEastAsia" w:hAnsiTheme="minorEastAsia" w:eastAsiaTheme="minorEastAsia"/>
                      <w:color w:val="000000"/>
                      <w:szCs w:val="21"/>
                      <w:highlight w:val="none"/>
                      <w:lang w:val="en-US" w:eastAsia="zh-CN"/>
                    </w:rPr>
                  </w:pPr>
                  <w:r>
                    <w:rPr>
                      <w:rFonts w:hint="eastAsia" w:cs="宋体" w:asciiTheme="minorEastAsia" w:hAnsiTheme="minorEastAsia" w:eastAsiaTheme="minorEastAsia"/>
                      <w:color w:val="000000"/>
                      <w:szCs w:val="21"/>
                      <w:highlight w:val="none"/>
                      <w:lang w:val="en-US" w:eastAsia="zh-CN"/>
                    </w:rPr>
                    <w:t>出口为主</w:t>
                  </w:r>
                </w:p>
              </w:tc>
              <w:tc>
                <w:tcPr>
                  <w:tcW w:w="3760" w:type="dxa"/>
                </w:tcPr>
                <w:p>
                  <w:pPr>
                    <w:widowControl/>
                    <w:numPr>
                      <w:ilvl w:val="0"/>
                      <w:numId w:val="2"/>
                    </w:numPr>
                    <w:jc w:val="left"/>
                    <w:textAlignment w:val="center"/>
                    <w:rPr>
                      <w:rFonts w:hint="default"/>
                      <w:highlight w:val="none"/>
                      <w:lang w:val="en-US" w:eastAsia="zh-CN"/>
                    </w:rPr>
                  </w:pPr>
                  <w:r>
                    <w:rPr>
                      <w:rFonts w:hint="eastAsia"/>
                      <w:highlight w:val="none"/>
                      <w:lang w:val="en-US" w:eastAsia="zh-CN"/>
                    </w:rPr>
                    <w:t>继续保持与客户的良好合作关系；</w:t>
                  </w:r>
                </w:p>
                <w:p>
                  <w:pPr>
                    <w:pStyle w:val="2"/>
                    <w:numPr>
                      <w:ilvl w:val="0"/>
                      <w:numId w:val="2"/>
                    </w:numPr>
                    <w:ind w:left="0" w:leftChars="0" w:firstLine="0" w:firstLineChars="0"/>
                    <w:rPr>
                      <w:rFonts w:hint="default"/>
                      <w:highlight w:val="none"/>
                      <w:lang w:val="en-US" w:eastAsia="zh-CN"/>
                    </w:rPr>
                  </w:pPr>
                  <w:r>
                    <w:rPr>
                      <w:rFonts w:hint="eastAsia"/>
                      <w:highlight w:val="none"/>
                      <w:lang w:val="en-US" w:eastAsia="zh-CN"/>
                    </w:rPr>
                    <w:t>通过体系持续提升食品安全管理能力，应对新客户新机遇</w:t>
                  </w:r>
                </w:p>
              </w:tc>
              <w:tc>
                <w:tcPr>
                  <w:tcW w:w="2071" w:type="dxa"/>
                </w:tcPr>
                <w:p>
                  <w:pPr>
                    <w:widowControl/>
                    <w:jc w:val="left"/>
                    <w:textAlignment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vAlign w:val="center"/>
                </w:tcPr>
                <w:p>
                  <w:pPr>
                    <w:widowControl/>
                    <w:jc w:val="left"/>
                    <w:textAlignment w:val="center"/>
                    <w:rPr>
                      <w:rFonts w:hint="default" w:cs="宋体" w:asciiTheme="minorEastAsia" w:hAnsiTheme="minorEastAsia" w:eastAsiaTheme="minorEastAsia"/>
                      <w:color w:val="000000"/>
                      <w:szCs w:val="21"/>
                      <w:highlight w:val="none"/>
                      <w:lang w:val="en-US" w:eastAsia="zh-CN"/>
                    </w:rPr>
                  </w:pPr>
                  <w:r>
                    <w:rPr>
                      <w:rFonts w:hint="eastAsia" w:cs="宋体" w:asciiTheme="minorEastAsia" w:hAnsiTheme="minorEastAsia" w:eastAsiaTheme="minorEastAsia"/>
                      <w:color w:val="000000"/>
                      <w:szCs w:val="21"/>
                      <w:highlight w:val="none"/>
                      <w:lang w:val="en-US" w:eastAsia="zh-CN"/>
                    </w:rPr>
                    <w:t>产品具有较强竞争力</w:t>
                  </w:r>
                </w:p>
              </w:tc>
              <w:tc>
                <w:tcPr>
                  <w:tcW w:w="3760" w:type="dxa"/>
                </w:tcPr>
                <w:p>
                  <w:pPr>
                    <w:pStyle w:val="2"/>
                    <w:numPr>
                      <w:numId w:val="0"/>
                    </w:numPr>
                    <w:jc w:val="left"/>
                    <w:rPr>
                      <w:rFonts w:hint="default"/>
                      <w:highlight w:val="none"/>
                      <w:lang w:val="en-US" w:eastAsia="zh-CN"/>
                    </w:rPr>
                  </w:pPr>
                  <w:r>
                    <w:rPr>
                      <w:rFonts w:hint="eastAsia"/>
                      <w:highlight w:val="none"/>
                      <w:lang w:val="en-US" w:eastAsia="zh-CN"/>
                    </w:rPr>
                    <w:t>扩大产品上游市场；继续控成品、增加竞争力</w:t>
                  </w:r>
                </w:p>
              </w:tc>
              <w:tc>
                <w:tcPr>
                  <w:tcW w:w="2071" w:type="dxa"/>
                </w:tcPr>
                <w:p>
                  <w:pPr>
                    <w:widowControl/>
                    <w:jc w:val="left"/>
                    <w:textAlignment w:val="center"/>
                    <w:rPr>
                      <w:rFonts w:hint="eastAsia"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基本有效</w:t>
                  </w:r>
                </w:p>
              </w:tc>
            </w:tr>
          </w:tbl>
          <w:p/>
          <w:p>
            <w:r>
              <w:rPr>
                <w:rFonts w:hint="eastAsia"/>
              </w:rPr>
              <w:t>组织食品安全管理体系范围内的潜在紧急情况，如</w:t>
            </w:r>
            <w:r>
              <w:rPr>
                <w:rFonts w:hint="eastAsia"/>
                <w:u w:val="single"/>
              </w:rPr>
              <w:t xml:space="preserve"> </w:t>
            </w:r>
            <w:r>
              <w:rPr>
                <w:rFonts w:hint="eastAsia"/>
                <w:u w:val="single"/>
              </w:rPr>
              <w:sym w:font="Wingdings" w:char="00FE"/>
            </w:r>
            <w:r>
              <w:rPr>
                <w:rFonts w:hint="eastAsia"/>
                <w:u w:val="single"/>
              </w:rPr>
              <w:t xml:space="preserve">法规未识别  </w:t>
            </w:r>
            <w:r>
              <w:rPr>
                <w:rFonts w:hint="eastAsia"/>
                <w:u w:val="single"/>
              </w:rPr>
              <w:sym w:font="Wingdings" w:char="00FE"/>
            </w:r>
            <w:r>
              <w:rPr>
                <w:rFonts w:hint="eastAsia"/>
                <w:u w:val="single"/>
              </w:rPr>
              <w:t xml:space="preserve">违规操作  </w:t>
            </w:r>
            <w:r>
              <w:rPr>
                <w:rFonts w:hint="eastAsia"/>
                <w:u w:val="single"/>
              </w:rPr>
              <w:sym w:font="Wingdings" w:char="00A8"/>
            </w:r>
            <w:r>
              <w:rPr>
                <w:rFonts w:hint="eastAsia"/>
                <w:u w:val="single"/>
              </w:rPr>
              <w:t xml:space="preserve">其他                      </w:t>
            </w:r>
          </w:p>
          <w:p/>
          <w:p>
            <w:pPr>
              <w:rPr>
                <w:u w:val="single"/>
              </w:rPr>
            </w:pPr>
            <w:r>
              <w:rPr>
                <w:rFonts w:hint="eastAsia"/>
              </w:rPr>
              <w:t>可能具有食品安全危害的潜在紧急情况，如</w:t>
            </w:r>
            <w:r>
              <w:rPr>
                <w:rFonts w:hint="eastAsia"/>
                <w:u w:val="single"/>
              </w:rPr>
              <w:t xml:space="preserve">  </w:t>
            </w:r>
            <w:r>
              <w:rPr>
                <w:rFonts w:hint="eastAsia"/>
                <w:u w:val="single"/>
              </w:rPr>
              <w:sym w:font="Wingdings" w:char="00A8"/>
            </w:r>
            <w:r>
              <w:rPr>
                <w:rFonts w:hint="eastAsia"/>
                <w:u w:val="single"/>
              </w:rPr>
              <w:t xml:space="preserve">食物中毒   </w:t>
            </w:r>
            <w:r>
              <w:rPr>
                <w:rFonts w:hint="eastAsia"/>
                <w:u w:val="single"/>
              </w:rPr>
              <w:sym w:font="Wingdings" w:char="00A8"/>
            </w:r>
            <w:r>
              <w:rPr>
                <w:rFonts w:hint="eastAsia"/>
                <w:u w:val="single"/>
              </w:rPr>
              <w:t xml:space="preserve">停水  </w:t>
            </w:r>
            <w:r>
              <w:rPr>
                <w:rFonts w:hint="eastAsia"/>
                <w:u w:val="single"/>
              </w:rPr>
              <w:sym w:font="Wingdings" w:char="00FE"/>
            </w:r>
            <w:r>
              <w:rPr>
                <w:rFonts w:hint="eastAsia"/>
                <w:u w:val="single"/>
              </w:rPr>
              <w:t xml:space="preserve">停电  </w:t>
            </w:r>
            <w:r>
              <w:rPr>
                <w:rFonts w:hint="eastAsia"/>
                <w:u w:val="single"/>
              </w:rPr>
              <w:sym w:font="Wingdings" w:char="00A8"/>
            </w:r>
            <w:r>
              <w:rPr>
                <w:rFonts w:hint="eastAsia"/>
                <w:u w:val="single"/>
              </w:rPr>
              <w:t xml:space="preserve"> 停天然气   </w:t>
            </w:r>
          </w:p>
          <w:p>
            <w:pPr>
              <w:ind w:firstLine="420"/>
              <w:rPr>
                <w:u w:val="single"/>
              </w:rPr>
            </w:pPr>
            <w:r>
              <w:rPr>
                <w:rFonts w:hint="eastAsia"/>
                <w:u w:val="single"/>
              </w:rPr>
              <w:sym w:font="Wingdings" w:char="00A8"/>
            </w:r>
            <w:r>
              <w:rPr>
                <w:rFonts w:hint="eastAsia"/>
                <w:u w:val="single"/>
              </w:rPr>
              <w:t xml:space="preserve"> 制冷设备故障  </w:t>
            </w:r>
            <w:r>
              <w:rPr>
                <w:rFonts w:hint="eastAsia"/>
                <w:u w:val="single"/>
              </w:rPr>
              <w:sym w:font="Wingdings" w:char="00A8"/>
            </w:r>
            <w:r>
              <w:rPr>
                <w:rFonts w:hint="eastAsia"/>
                <w:u w:val="single"/>
              </w:rPr>
              <w:t xml:space="preserve">车辆故障   </w:t>
            </w:r>
            <w:r>
              <w:rPr>
                <w:rFonts w:hint="eastAsia"/>
                <w:u w:val="single"/>
              </w:rPr>
              <w:sym w:font="Wingdings" w:char="00A8"/>
            </w:r>
            <w:r>
              <w:rPr>
                <w:rFonts w:hint="eastAsia"/>
                <w:u w:val="single"/>
              </w:rPr>
              <w:t xml:space="preserve"> 停蒸汽   </w:t>
            </w:r>
            <w:r>
              <w:rPr>
                <w:rFonts w:hint="eastAsia"/>
                <w:u w:val="single"/>
              </w:rPr>
              <w:sym w:font="Wingdings" w:char="00A8"/>
            </w:r>
            <w:r>
              <w:rPr>
                <w:rFonts w:hint="eastAsia"/>
                <w:u w:val="single"/>
              </w:rPr>
              <w:t xml:space="preserve"> 其他    </w:t>
            </w:r>
          </w:p>
          <w:p>
            <w:pPr>
              <w:ind w:firstLine="420"/>
              <w:rPr>
                <w:u w:val="single"/>
              </w:rPr>
            </w:pPr>
          </w:p>
          <w:p>
            <w:pPr>
              <w:jc w:val="left"/>
              <w:rPr>
                <w:rFonts w:ascii="CIDFont+F5" w:hAnsi="CIDFont+F5" w:eastAsia="CIDFont+F5"/>
              </w:rPr>
            </w:pPr>
            <w:r>
              <w:rPr>
                <w:rFonts w:hint="eastAsia"/>
              </w:rPr>
              <w:sym w:font="Wingdings" w:char="00FE"/>
            </w:r>
            <w:r>
              <w:rPr>
                <w:rFonts w:hint="eastAsia"/>
              </w:rPr>
              <w:t xml:space="preserve"> </w:t>
            </w:r>
            <w:r>
              <w:rPr>
                <w:rFonts w:hint="eastAsia" w:ascii="CIDFont+F5" w:hAnsi="CIDFont+F5" w:eastAsia="CIDFont+F5"/>
              </w:rPr>
              <w:t xml:space="preserve"> 确保FSMS 能够达到其预期结果;</w:t>
            </w:r>
          </w:p>
          <w:p>
            <w:pPr>
              <w:jc w:val="left"/>
              <w:rPr>
                <w:rFonts w:ascii="CIDFont+F5" w:hAnsi="CIDFont+F5" w:eastAsia="CIDFont+F5"/>
              </w:rPr>
            </w:pPr>
            <w:r>
              <w:rPr>
                <w:rFonts w:hint="eastAsia"/>
              </w:rPr>
              <w:sym w:font="Wingdings" w:char="00FE"/>
            </w:r>
            <w:r>
              <w:rPr>
                <w:rFonts w:hint="eastAsia"/>
              </w:rPr>
              <w:t xml:space="preserve"> </w:t>
            </w:r>
            <w:r>
              <w:rPr>
                <w:rFonts w:hint="eastAsia" w:ascii="CIDFont+F5" w:hAnsi="CIDFont+F5" w:eastAsia="CIDFont+F5"/>
              </w:rPr>
              <w:t xml:space="preserve"> 提高理想效果;</w:t>
            </w:r>
          </w:p>
          <w:p>
            <w:pPr>
              <w:jc w:val="left"/>
              <w:rPr>
                <w:rFonts w:ascii="CIDFont+F5" w:hAnsi="CIDFont+F5" w:eastAsia="CIDFont+F5"/>
              </w:rPr>
            </w:pPr>
            <w:r>
              <w:rPr>
                <w:rFonts w:hint="eastAsia"/>
              </w:rPr>
              <w:sym w:font="Wingdings" w:char="00FE"/>
            </w:r>
            <w:r>
              <w:rPr>
                <w:rFonts w:hint="eastAsia"/>
              </w:rPr>
              <w:t xml:space="preserve"> </w:t>
            </w:r>
            <w:r>
              <w:rPr>
                <w:rFonts w:hint="eastAsia" w:ascii="CIDFont+F5" w:hAnsi="CIDFont+F5" w:eastAsia="CIDFont+F5"/>
              </w:rPr>
              <w:t xml:space="preserve"> 防止或减少不良后果;</w:t>
            </w:r>
          </w:p>
          <w:p>
            <w:r>
              <w:rPr>
                <w:rFonts w:hint="eastAsia"/>
              </w:rPr>
              <w:sym w:font="Wingdings" w:char="00FE"/>
            </w:r>
            <w:r>
              <w:rPr>
                <w:rFonts w:hint="eastAsia"/>
              </w:rPr>
              <w:t xml:space="preserve"> </w:t>
            </w:r>
            <w:r>
              <w:rPr>
                <w:rFonts w:hint="eastAsia" w:ascii="CIDFont+F5" w:hAnsi="CIDFont+F5" w:eastAsia="CIDFont+F5"/>
              </w:rPr>
              <w:t xml:space="preserve"> 实现持续改进。</w:t>
            </w:r>
          </w:p>
        </w:tc>
        <w:tc>
          <w:tcPr>
            <w:tcW w:w="1590"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044" w:type="dxa"/>
            <w:vMerge w:val="continue"/>
          </w:tcPr>
          <w:p/>
        </w:tc>
        <w:tc>
          <w:tcPr>
            <w:tcW w:w="952" w:type="dxa"/>
          </w:tcPr>
          <w:p>
            <w:r>
              <w:rPr>
                <w:rFonts w:hint="eastAsia"/>
                <w:color w:val="000000"/>
                <w:szCs w:val="21"/>
              </w:rPr>
              <w:t>F6.1.2</w:t>
            </w:r>
          </w:p>
        </w:tc>
        <w:tc>
          <w:tcPr>
            <w:tcW w:w="761" w:type="dxa"/>
          </w:tcPr>
          <w:p>
            <w:r>
              <w:rPr>
                <w:rFonts w:hint="eastAsia"/>
              </w:rPr>
              <w:t>运行证据</w:t>
            </w:r>
          </w:p>
        </w:tc>
        <w:tc>
          <w:tcPr>
            <w:tcW w:w="9367" w:type="dxa"/>
          </w:tcPr>
          <w:p>
            <w:pPr>
              <w:rPr>
                <w:rFonts w:ascii="CIDFont+F5" w:hAnsi="CIDFont+F5" w:eastAsia="CIDFont+F5"/>
              </w:rPr>
            </w:pPr>
            <w:r>
              <w:rPr>
                <w:rFonts w:hint="eastAsia" w:ascii="CIDFont+F5" w:hAnsi="CIDFont+F5" w:eastAsia="CIDFont+F5"/>
              </w:rPr>
              <w:t>该组织策划了：</w:t>
            </w:r>
          </w:p>
          <w:p>
            <w:pPr>
              <w:jc w:val="left"/>
              <w:rPr>
                <w:rFonts w:ascii="CIDFont+F5" w:hAnsi="CIDFont+F5" w:eastAsia="CIDFont+F5"/>
              </w:rPr>
            </w:pPr>
            <w:r>
              <w:rPr>
                <w:rFonts w:hint="eastAsia" w:ascii="CIDFont+F5" w:hAnsi="CIDFont+F5" w:eastAsia="CIDFont+F5"/>
              </w:rPr>
              <w:t>a) 解决这些风险和机遇的行动;——企业提供了《风险和机遇评估分析表》</w:t>
            </w:r>
          </w:p>
          <w:p>
            <w:pPr>
              <w:jc w:val="left"/>
              <w:rPr>
                <w:rFonts w:ascii="CIDFont+F5" w:hAnsi="CIDFont+F5" w:eastAsia="CIDFont+F5"/>
              </w:rPr>
            </w:pPr>
            <w:r>
              <w:rPr>
                <w:rFonts w:hint="eastAsia" w:ascii="CIDFont+F5" w:hAnsi="CIDFont+F5" w:eastAsia="CIDFont+F5"/>
              </w:rPr>
              <w:t>b) 并进行了:</w:t>
            </w:r>
          </w:p>
          <w:p>
            <w:pPr>
              <w:jc w:val="left"/>
              <w:rPr>
                <w:rFonts w:ascii="CIDFont+F5" w:hAnsi="CIDFont+F5" w:eastAsia="CIDFont+F5"/>
              </w:rPr>
            </w:pPr>
            <w:r>
              <w:rPr>
                <w:rFonts w:hint="eastAsia" w:ascii="CIDFont+F5" w:hAnsi="CIDFont+F5" w:eastAsia="CIDFont+F5"/>
              </w:rPr>
              <w:t>1) 将行动整合并实施到其FSMS流程中;</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p>
            <w:pPr>
              <w:jc w:val="left"/>
              <w:rPr>
                <w:rFonts w:ascii="CIDFont+F5" w:hAnsi="CIDFont+F5" w:eastAsia="CIDFont+F5"/>
              </w:rPr>
            </w:pPr>
            <w:r>
              <w:rPr>
                <w:rFonts w:hint="eastAsia" w:ascii="CIDFont+F5" w:hAnsi="CIDFont+F5" w:eastAsia="CIDFont+F5"/>
              </w:rPr>
              <w:t>2) 评估这些行动的有效性。</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tc>
        <w:tc>
          <w:tcPr>
            <w:tcW w:w="1590" w:type="dxa"/>
            <w:gridSpan w:val="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044" w:type="dxa"/>
            <w:vMerge w:val="continue"/>
          </w:tcPr>
          <w:p/>
        </w:tc>
        <w:tc>
          <w:tcPr>
            <w:tcW w:w="952" w:type="dxa"/>
          </w:tcPr>
          <w:p>
            <w:r>
              <w:rPr>
                <w:rFonts w:hint="eastAsia"/>
                <w:color w:val="000000"/>
                <w:szCs w:val="21"/>
              </w:rPr>
              <w:t>F6.1.3</w:t>
            </w:r>
          </w:p>
        </w:tc>
        <w:tc>
          <w:tcPr>
            <w:tcW w:w="761" w:type="dxa"/>
          </w:tcPr>
          <w:p>
            <w:r>
              <w:rPr>
                <w:rFonts w:hint="eastAsia"/>
              </w:rPr>
              <w:t>运行证据</w:t>
            </w:r>
          </w:p>
        </w:tc>
        <w:tc>
          <w:tcPr>
            <w:tcW w:w="9367" w:type="dxa"/>
          </w:tcPr>
          <w:p>
            <w:pPr>
              <w:jc w:val="left"/>
              <w:rPr>
                <w:rFonts w:ascii="CIDFont+F5" w:hAnsi="CIDFont+F5" w:eastAsia="CIDFont+F5"/>
              </w:rPr>
            </w:pPr>
            <w:r>
              <w:rPr>
                <w:rFonts w:hint="eastAsia" w:ascii="CIDFont+F5" w:hAnsi="CIDFont+F5" w:eastAsia="CIDFont+F5"/>
              </w:rPr>
              <w:t>该组织为应对风险和机遇而采取的行动与以下方面相称：</w:t>
            </w:r>
          </w:p>
          <w:p>
            <w:pPr>
              <w:jc w:val="left"/>
              <w:rPr>
                <w:rFonts w:ascii="CIDFont+F5" w:hAnsi="CIDFont+F5" w:eastAsia="CIDFont+F5"/>
              </w:rPr>
            </w:pPr>
            <w:r>
              <w:rPr>
                <w:rFonts w:hint="eastAsia" w:ascii="CIDFont+F5" w:hAnsi="CIDFont+F5" w:eastAsia="CIDFont+F5"/>
              </w:rPr>
              <w:t xml:space="preserve">a) 对食品安全要求的影响;          </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p>
            <w:pPr>
              <w:jc w:val="left"/>
              <w:rPr>
                <w:rFonts w:ascii="CIDFont+F5" w:hAnsi="CIDFont+F5" w:eastAsia="CIDFont+F5"/>
              </w:rPr>
            </w:pPr>
            <w:r>
              <w:rPr>
                <w:rFonts w:hint="eastAsia" w:ascii="CIDFont+F5" w:hAnsi="CIDFont+F5" w:eastAsia="CIDFont+F5"/>
              </w:rPr>
              <w:t>b) 为顾客提供一致的食品产品与服务;</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p>
            <w:pPr>
              <w:jc w:val="left"/>
            </w:pPr>
            <w:r>
              <w:rPr>
                <w:rFonts w:hint="eastAsia" w:ascii="CIDFont+F5" w:hAnsi="CIDFont+F5" w:eastAsia="CIDFont+F5"/>
              </w:rPr>
              <w:t xml:space="preserve">c) 食品链中相关方的要求。         </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tc>
        <w:tc>
          <w:tcPr>
            <w:tcW w:w="1590" w:type="dxa"/>
            <w:gridSpan w:val="2"/>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4" w:type="dxa"/>
            <w:vMerge w:val="restart"/>
            <w:shd w:val="clear" w:color="auto" w:fill="FFFFFF" w:themeFill="background1"/>
          </w:tcPr>
          <w:p>
            <w:pPr>
              <w:rPr>
                <w:highlight w:val="none"/>
              </w:rPr>
            </w:pPr>
            <w:r>
              <w:rPr>
                <w:rFonts w:hint="eastAsia"/>
                <w:color w:val="000000"/>
                <w:szCs w:val="21"/>
                <w:highlight w:val="none"/>
              </w:rPr>
              <w:t>食品安全管理体系目标及其实现的策划</w:t>
            </w:r>
          </w:p>
        </w:tc>
        <w:tc>
          <w:tcPr>
            <w:tcW w:w="952" w:type="dxa"/>
            <w:vMerge w:val="restart"/>
            <w:shd w:val="clear" w:color="auto" w:fill="FFFFFF" w:themeFill="background1"/>
          </w:tcPr>
          <w:p>
            <w:pPr>
              <w:rPr>
                <w:highlight w:val="none"/>
              </w:rPr>
            </w:pPr>
            <w:r>
              <w:rPr>
                <w:rFonts w:hint="eastAsia"/>
                <w:color w:val="000000"/>
                <w:szCs w:val="21"/>
                <w:highlight w:val="none"/>
              </w:rPr>
              <w:t>F6.2</w:t>
            </w:r>
          </w:p>
        </w:tc>
        <w:tc>
          <w:tcPr>
            <w:tcW w:w="761" w:type="dxa"/>
            <w:shd w:val="clear" w:color="auto" w:fill="FFFFFF" w:themeFill="background1"/>
          </w:tcPr>
          <w:p>
            <w:pPr>
              <w:rPr>
                <w:highlight w:val="none"/>
              </w:rPr>
            </w:pPr>
            <w:r>
              <w:rPr>
                <w:rFonts w:hint="eastAsia"/>
                <w:highlight w:val="none"/>
              </w:rPr>
              <w:t>文件名称</w:t>
            </w:r>
          </w:p>
        </w:tc>
        <w:tc>
          <w:tcPr>
            <w:tcW w:w="9367" w:type="dxa"/>
            <w:shd w:val="clear" w:color="auto" w:fill="FFFFFF" w:themeFill="background1"/>
          </w:tcPr>
          <w:p>
            <w:pPr>
              <w:rPr>
                <w:highlight w:val="none"/>
              </w:rPr>
            </w:pPr>
            <w:r>
              <w:rPr>
                <w:rFonts w:hint="eastAsia"/>
                <w:highlight w:val="none"/>
              </w:rPr>
              <w:t>如：</w:t>
            </w:r>
            <w:r>
              <w:rPr>
                <w:highlight w:val="none"/>
              </w:rPr>
              <w:sym w:font="Wingdings" w:char="00FE"/>
            </w:r>
            <w:r>
              <w:rPr>
                <w:rFonts w:hint="eastAsia"/>
                <w:highlight w:val="none"/>
              </w:rPr>
              <w:t>手册第6.2条款、</w:t>
            </w:r>
            <w:r>
              <w:rPr>
                <w:highlight w:val="none"/>
              </w:rPr>
              <w:sym w:font="Wingdings" w:char="00FE"/>
            </w:r>
            <w:r>
              <w:rPr>
                <w:rFonts w:hint="eastAsia"/>
                <w:highlight w:val="none"/>
              </w:rPr>
              <w:t>“</w:t>
            </w:r>
            <w:bookmarkStart w:id="2" w:name="_Toc154807529"/>
            <w:bookmarkStart w:id="3" w:name="_Toc145402008"/>
            <w:bookmarkStart w:id="4" w:name="_Toc149970707"/>
            <w:bookmarkStart w:id="5" w:name="_Toc145400879"/>
            <w:bookmarkStart w:id="6" w:name="_Toc146529956"/>
            <w:r>
              <w:rPr>
                <w:rFonts w:hint="eastAsia"/>
                <w:highlight w:val="none"/>
              </w:rPr>
              <w:t>食品安全方针与目标</w:t>
            </w:r>
            <w:bookmarkEnd w:id="2"/>
            <w:bookmarkEnd w:id="3"/>
            <w:bookmarkEnd w:id="4"/>
            <w:bookmarkEnd w:id="5"/>
            <w:bookmarkEnd w:id="6"/>
            <w:r>
              <w:rPr>
                <w:rFonts w:hint="eastAsia"/>
                <w:highlight w:val="none"/>
              </w:rPr>
              <w:t>”</w:t>
            </w:r>
            <w:r>
              <w:rPr>
                <w:highlight w:val="none"/>
              </w:rPr>
              <w:sym w:font="Wingdings" w:char="00A8"/>
            </w:r>
            <w:r>
              <w:rPr>
                <w:rFonts w:hint="eastAsia"/>
                <w:highlight w:val="none"/>
              </w:rPr>
              <w:t>《食品安全目标和考核指标及实施统计表</w:t>
            </w:r>
          </w:p>
          <w:p>
            <w:pPr>
              <w:rPr>
                <w:highlight w:val="none"/>
              </w:rPr>
            </w:pPr>
            <w:r>
              <w:rPr>
                <w:rFonts w:hint="eastAsia"/>
                <w:highlight w:val="none"/>
              </w:rPr>
              <w:t>》、《分解目标》</w:t>
            </w:r>
          </w:p>
        </w:tc>
        <w:tc>
          <w:tcPr>
            <w:tcW w:w="1590" w:type="dxa"/>
            <w:gridSpan w:val="2"/>
            <w:vMerge w:val="restart"/>
            <w:shd w:val="clear" w:color="auto" w:fill="FFFFFF" w:themeFill="background1"/>
          </w:tcPr>
          <w:p>
            <w:pPr>
              <w:rPr>
                <w:highlight w:val="none"/>
              </w:rPr>
            </w:pPr>
            <w:r>
              <w:rPr>
                <w:highlight w:val="none"/>
              </w:rPr>
              <w:sym w:font="Wingdings" w:char="00FE"/>
            </w:r>
            <w:r>
              <w:rPr>
                <w:rFonts w:hint="eastAsia"/>
                <w:highlight w:val="none"/>
              </w:rPr>
              <w:t>符合</w:t>
            </w:r>
          </w:p>
          <w:p>
            <w:pPr>
              <w:rPr>
                <w:highlight w:val="none"/>
              </w:rPr>
            </w:pPr>
            <w:r>
              <w:rPr>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044" w:type="dxa"/>
            <w:vMerge w:val="continue"/>
            <w:shd w:val="clear" w:color="auto" w:fill="FFFFFF" w:themeFill="background1"/>
          </w:tcPr>
          <w:p>
            <w:pPr>
              <w:rPr>
                <w:highlight w:val="none"/>
              </w:rPr>
            </w:pPr>
          </w:p>
        </w:tc>
        <w:tc>
          <w:tcPr>
            <w:tcW w:w="952" w:type="dxa"/>
            <w:vMerge w:val="continue"/>
            <w:shd w:val="clear" w:color="auto" w:fill="FFFFFF" w:themeFill="background1"/>
          </w:tcPr>
          <w:p>
            <w:pPr>
              <w:rPr>
                <w:highlight w:val="none"/>
              </w:rPr>
            </w:pPr>
          </w:p>
        </w:tc>
        <w:tc>
          <w:tcPr>
            <w:tcW w:w="761" w:type="dxa"/>
            <w:shd w:val="clear" w:color="auto" w:fill="FFFFFF" w:themeFill="background1"/>
          </w:tcPr>
          <w:p>
            <w:pPr>
              <w:rPr>
                <w:highlight w:val="none"/>
              </w:rPr>
            </w:pPr>
            <w:r>
              <w:rPr>
                <w:rFonts w:hint="eastAsia"/>
                <w:highlight w:val="none"/>
              </w:rPr>
              <w:t>运行证据</w:t>
            </w:r>
          </w:p>
        </w:tc>
        <w:tc>
          <w:tcPr>
            <w:tcW w:w="9367" w:type="dxa"/>
            <w:shd w:val="clear" w:color="auto" w:fill="FFFFFF" w:themeFill="background1"/>
          </w:tcPr>
          <w:p>
            <w:pPr>
              <w:rPr>
                <w:highlight w:val="none"/>
              </w:rPr>
            </w:pPr>
            <w:r>
              <w:rPr>
                <w:rFonts w:hint="eastAsia"/>
                <w:highlight w:val="none"/>
              </w:rPr>
              <w:t>组织建立了与方针一致的文件化的管理目标。为实现总食品安全目标而建立的各层级食品安全目标具体、有针对性、可测量并且可实现。</w:t>
            </w:r>
          </w:p>
          <w:p>
            <w:pPr>
              <w:rPr>
                <w:highlight w:val="none"/>
              </w:rPr>
            </w:pPr>
            <w:r>
              <w:rPr>
                <w:rFonts w:hint="eastAsia"/>
                <w:highlight w:val="none"/>
              </w:rPr>
              <w:t>总食品安全目标实现情况的评价，及其测量方法是：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1114"/>
              <w:gridCol w:w="322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shd w:val="clear" w:color="auto" w:fill="auto"/>
                </w:tcPr>
                <w:p>
                  <w:pPr>
                    <w:rPr>
                      <w:rFonts w:ascii="宋体" w:hAnsi="宋体"/>
                      <w:szCs w:val="24"/>
                      <w:highlight w:val="none"/>
                    </w:rPr>
                  </w:pPr>
                  <w:r>
                    <w:rPr>
                      <w:rFonts w:hint="eastAsia"/>
                      <w:highlight w:val="none"/>
                    </w:rPr>
                    <w:t>食品安全</w:t>
                  </w:r>
                  <w:r>
                    <w:rPr>
                      <w:rFonts w:hint="eastAsia" w:ascii="宋体" w:hAnsi="宋体"/>
                      <w:szCs w:val="24"/>
                      <w:highlight w:val="none"/>
                    </w:rPr>
                    <w:t>目标</w:t>
                  </w:r>
                </w:p>
              </w:tc>
              <w:tc>
                <w:tcPr>
                  <w:tcW w:w="1114" w:type="dxa"/>
                  <w:shd w:val="clear" w:color="auto" w:fill="auto"/>
                </w:tcPr>
                <w:p>
                  <w:pPr>
                    <w:rPr>
                      <w:rFonts w:ascii="宋体" w:hAnsi="宋体"/>
                      <w:szCs w:val="24"/>
                      <w:highlight w:val="none"/>
                    </w:rPr>
                  </w:pPr>
                  <w:r>
                    <w:rPr>
                      <w:rFonts w:hint="eastAsia" w:ascii="宋体" w:hAnsi="宋体"/>
                      <w:szCs w:val="24"/>
                      <w:highlight w:val="none"/>
                    </w:rPr>
                    <w:t>考核频次</w:t>
                  </w:r>
                </w:p>
              </w:tc>
              <w:tc>
                <w:tcPr>
                  <w:tcW w:w="3226" w:type="dxa"/>
                  <w:shd w:val="clear" w:color="auto" w:fill="auto"/>
                </w:tcPr>
                <w:p>
                  <w:pPr>
                    <w:rPr>
                      <w:rFonts w:ascii="宋体" w:hAnsi="宋体"/>
                      <w:szCs w:val="24"/>
                      <w:highlight w:val="none"/>
                    </w:rPr>
                  </w:pPr>
                  <w:r>
                    <w:rPr>
                      <w:rFonts w:hint="eastAsia"/>
                      <w:color w:val="000000"/>
                      <w:szCs w:val="18"/>
                      <w:highlight w:val="none"/>
                    </w:rPr>
                    <w:t>计算方法</w:t>
                  </w:r>
                </w:p>
              </w:tc>
              <w:tc>
                <w:tcPr>
                  <w:tcW w:w="1774" w:type="dxa"/>
                  <w:shd w:val="clear" w:color="auto" w:fill="auto"/>
                </w:tcPr>
                <w:p>
                  <w:pPr>
                    <w:rPr>
                      <w:rFonts w:ascii="宋体" w:hAnsi="宋体"/>
                      <w:szCs w:val="24"/>
                      <w:highlight w:val="none"/>
                    </w:rPr>
                  </w:pPr>
                  <w:r>
                    <w:rPr>
                      <w:rFonts w:hint="eastAsia" w:ascii="宋体" w:hAnsi="宋体"/>
                      <w:szCs w:val="24"/>
                      <w:highlight w:val="none"/>
                    </w:rPr>
                    <w:t>目标实际完成（</w:t>
                  </w:r>
                  <w:r>
                    <w:rPr>
                      <w:rFonts w:hint="eastAsia" w:ascii="宋体" w:hAnsi="宋体"/>
                      <w:szCs w:val="24"/>
                      <w:highlight w:val="none"/>
                      <w:lang w:val="en-US" w:eastAsia="zh-CN"/>
                    </w:rPr>
                    <w:t>2021年度</w:t>
                  </w:r>
                  <w:r>
                    <w:rPr>
                      <w:rFonts w:hint="eastAsia" w:ascii="宋体" w:hAnsi="宋体"/>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shd w:val="clear" w:color="auto" w:fill="auto"/>
                  <w:vAlign w:val="top"/>
                </w:tcPr>
                <w:p>
                  <w:pPr>
                    <w:rPr>
                      <w:rFonts w:ascii="Times New Roman" w:hAnsi="Times New Roman" w:eastAsia="宋体" w:cs="Times New Roman"/>
                      <w:kern w:val="2"/>
                      <w:sz w:val="21"/>
                      <w:szCs w:val="22"/>
                      <w:highlight w:val="none"/>
                      <w:lang w:val="en-US" w:eastAsia="zh-CN" w:bidi="ar-SA"/>
                    </w:rPr>
                  </w:pPr>
                  <w:r>
                    <w:rPr>
                      <w:rFonts w:hint="eastAsia"/>
                      <w:szCs w:val="22"/>
                      <w:highlight w:val="none"/>
                    </w:rPr>
                    <w:t>顾客满意度≥95分</w:t>
                  </w:r>
                </w:p>
              </w:tc>
              <w:tc>
                <w:tcPr>
                  <w:tcW w:w="1114" w:type="dxa"/>
                  <w:shd w:val="clear" w:color="auto" w:fill="auto"/>
                  <w:vAlign w:val="top"/>
                </w:tcPr>
                <w:p>
                  <w:pPr>
                    <w:rPr>
                      <w:rFonts w:ascii="Times New Roman" w:hAnsi="Times New Roman" w:eastAsia="宋体" w:cs="Times New Roman"/>
                      <w:kern w:val="2"/>
                      <w:sz w:val="21"/>
                      <w:szCs w:val="22"/>
                      <w:highlight w:val="none"/>
                      <w:lang w:val="en-GB" w:eastAsia="zh-CN" w:bidi="ar-SA"/>
                    </w:rPr>
                  </w:pPr>
                  <w:r>
                    <w:rPr>
                      <w:rFonts w:hint="eastAsia"/>
                      <w:szCs w:val="22"/>
                      <w:highlight w:val="none"/>
                    </w:rPr>
                    <w:t>每年</w:t>
                  </w:r>
                </w:p>
              </w:tc>
              <w:tc>
                <w:tcPr>
                  <w:tcW w:w="3226" w:type="dxa"/>
                  <w:shd w:val="clear" w:color="auto" w:fill="auto"/>
                  <w:vAlign w:val="top"/>
                </w:tcPr>
                <w:p>
                  <w:pPr>
                    <w:rPr>
                      <w:rFonts w:ascii="Times New Roman" w:hAnsi="Times New Roman" w:eastAsia="宋体" w:cs="Times New Roman"/>
                      <w:kern w:val="2"/>
                      <w:sz w:val="21"/>
                      <w:szCs w:val="22"/>
                      <w:highlight w:val="none"/>
                      <w:lang w:val="en-GB" w:eastAsia="zh-CN" w:bidi="ar-SA"/>
                    </w:rPr>
                  </w:pPr>
                  <w:r>
                    <w:rPr>
                      <w:rFonts w:hint="eastAsia"/>
                      <w:szCs w:val="22"/>
                      <w:highlight w:val="none"/>
                    </w:rPr>
                    <w:t>平均年度满意度分值</w:t>
                  </w:r>
                </w:p>
              </w:tc>
              <w:tc>
                <w:tcPr>
                  <w:tcW w:w="1774" w:type="dxa"/>
                  <w:shd w:val="clear" w:color="auto" w:fill="auto"/>
                  <w:vAlign w:val="top"/>
                </w:tcPr>
                <w:p>
                  <w:pPr>
                    <w:rPr>
                      <w:rFonts w:ascii="Times New Roman" w:hAnsi="Times New Roman" w:eastAsia="宋体" w:cs="Times New Roman"/>
                      <w:kern w:val="2"/>
                      <w:sz w:val="21"/>
                      <w:szCs w:val="22"/>
                      <w:highlight w:val="none"/>
                      <w:lang w:val="en-GB" w:eastAsia="zh-CN" w:bidi="ar-SA"/>
                    </w:rPr>
                  </w:pPr>
                  <w:r>
                    <w:rPr>
                      <w:rFonts w:hint="eastAsia"/>
                      <w:szCs w:val="22"/>
                      <w:highlight w:val="none"/>
                      <w:lang w:val="en-GB"/>
                    </w:rP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shd w:val="clear" w:color="auto" w:fill="auto"/>
                  <w:vAlign w:val="top"/>
                </w:tcPr>
                <w:p>
                  <w:pPr>
                    <w:rPr>
                      <w:rFonts w:ascii="Times New Roman" w:hAnsi="Times New Roman" w:eastAsia="宋体" w:cs="Times New Roman"/>
                      <w:kern w:val="2"/>
                      <w:sz w:val="21"/>
                      <w:szCs w:val="22"/>
                      <w:highlight w:val="none"/>
                      <w:lang w:val="en-US" w:eastAsia="zh-CN" w:bidi="ar-SA"/>
                    </w:rPr>
                  </w:pPr>
                  <w:r>
                    <w:rPr>
                      <w:rFonts w:hint="eastAsia"/>
                      <w:szCs w:val="22"/>
                      <w:highlight w:val="none"/>
                    </w:rPr>
                    <w:t>顾客投诉次数≤ 2 次/季</w:t>
                  </w:r>
                </w:p>
              </w:tc>
              <w:tc>
                <w:tcPr>
                  <w:tcW w:w="1114" w:type="dxa"/>
                  <w:shd w:val="clear" w:color="auto" w:fill="auto"/>
                  <w:vAlign w:val="top"/>
                </w:tcPr>
                <w:p>
                  <w:pPr>
                    <w:rPr>
                      <w:rFonts w:ascii="Times New Roman" w:hAnsi="Times New Roman" w:eastAsia="宋体" w:cs="Times New Roman"/>
                      <w:kern w:val="2"/>
                      <w:sz w:val="21"/>
                      <w:szCs w:val="22"/>
                      <w:highlight w:val="none"/>
                      <w:lang w:val="en-US" w:eastAsia="zh-CN" w:bidi="ar-SA"/>
                    </w:rPr>
                  </w:pPr>
                  <w:r>
                    <w:rPr>
                      <w:rFonts w:hint="eastAsia"/>
                      <w:szCs w:val="22"/>
                      <w:highlight w:val="none"/>
                    </w:rPr>
                    <w:t>季度</w:t>
                  </w:r>
                </w:p>
              </w:tc>
              <w:tc>
                <w:tcPr>
                  <w:tcW w:w="3226" w:type="dxa"/>
                  <w:shd w:val="clear" w:color="auto" w:fill="auto"/>
                  <w:vAlign w:val="top"/>
                </w:tcPr>
                <w:p>
                  <w:pPr>
                    <w:rPr>
                      <w:rFonts w:ascii="Times New Roman" w:hAnsi="Times New Roman" w:eastAsia="宋体" w:cs="Times New Roman"/>
                      <w:kern w:val="2"/>
                      <w:sz w:val="21"/>
                      <w:szCs w:val="22"/>
                      <w:highlight w:val="none"/>
                      <w:lang w:val="en-US" w:eastAsia="zh-CN" w:bidi="ar-SA"/>
                    </w:rPr>
                  </w:pPr>
                  <w:r>
                    <w:rPr>
                      <w:rFonts w:hint="eastAsia"/>
                      <w:szCs w:val="22"/>
                      <w:highlight w:val="none"/>
                    </w:rPr>
                    <w:t>实际发生次数</w:t>
                  </w:r>
                </w:p>
              </w:tc>
              <w:tc>
                <w:tcPr>
                  <w:tcW w:w="1774"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shd w:val="clear" w:color="auto" w:fill="auto"/>
                  <w:vAlign w:val="top"/>
                </w:tcPr>
                <w:p>
                  <w:pPr>
                    <w:rPr>
                      <w:rFonts w:ascii="Times New Roman" w:hAnsi="Times New Roman" w:eastAsia="宋体" w:cs="Times New Roman"/>
                      <w:kern w:val="2"/>
                      <w:sz w:val="21"/>
                      <w:szCs w:val="22"/>
                      <w:highlight w:val="none"/>
                      <w:lang w:val="en-US" w:eastAsia="zh-CN" w:bidi="ar-SA"/>
                    </w:rPr>
                  </w:pPr>
                  <w:r>
                    <w:rPr>
                      <w:rFonts w:hint="eastAsia"/>
                      <w:szCs w:val="22"/>
                      <w:highlight w:val="none"/>
                    </w:rPr>
                    <w:t>全年重大食品安全事故为：0</w:t>
                  </w:r>
                </w:p>
              </w:tc>
              <w:tc>
                <w:tcPr>
                  <w:tcW w:w="1114" w:type="dxa"/>
                  <w:shd w:val="clear" w:color="auto" w:fill="auto"/>
                  <w:vAlign w:val="top"/>
                </w:tcPr>
                <w:p>
                  <w:pPr>
                    <w:rPr>
                      <w:rFonts w:ascii="Times New Roman" w:hAnsi="Times New Roman" w:eastAsia="宋体" w:cs="Times New Roman"/>
                      <w:kern w:val="2"/>
                      <w:sz w:val="21"/>
                      <w:szCs w:val="22"/>
                      <w:highlight w:val="none"/>
                      <w:lang w:val="en-US" w:eastAsia="zh-CN" w:bidi="ar-SA"/>
                    </w:rPr>
                  </w:pPr>
                  <w:r>
                    <w:rPr>
                      <w:rFonts w:hint="eastAsia"/>
                      <w:szCs w:val="22"/>
                      <w:highlight w:val="none"/>
                    </w:rPr>
                    <w:t>季度</w:t>
                  </w:r>
                </w:p>
              </w:tc>
              <w:tc>
                <w:tcPr>
                  <w:tcW w:w="3226" w:type="dxa"/>
                  <w:shd w:val="clear" w:color="auto" w:fill="auto"/>
                  <w:vAlign w:val="top"/>
                </w:tcPr>
                <w:p>
                  <w:pPr>
                    <w:rPr>
                      <w:rFonts w:ascii="Times New Roman" w:hAnsi="Times New Roman" w:eastAsia="宋体" w:cs="Times New Roman"/>
                      <w:kern w:val="2"/>
                      <w:sz w:val="21"/>
                      <w:szCs w:val="22"/>
                      <w:highlight w:val="none"/>
                      <w:lang w:val="en-US" w:eastAsia="zh-CN" w:bidi="ar-SA"/>
                    </w:rPr>
                  </w:pPr>
                  <w:r>
                    <w:rPr>
                      <w:rFonts w:hint="eastAsia"/>
                      <w:szCs w:val="22"/>
                      <w:highlight w:val="none"/>
                    </w:rPr>
                    <w:t>实际发生次数</w:t>
                  </w:r>
                </w:p>
              </w:tc>
              <w:tc>
                <w:tcPr>
                  <w:tcW w:w="1774" w:type="dxa"/>
                  <w:shd w:val="clear" w:color="auto" w:fill="auto"/>
                  <w:vAlign w:val="top"/>
                </w:tcPr>
                <w:p>
                  <w:pPr>
                    <w:rPr>
                      <w:rFonts w:ascii="Times New Roman" w:hAnsi="Times New Roman" w:eastAsia="宋体" w:cs="Times New Roman"/>
                      <w:kern w:val="2"/>
                      <w:sz w:val="21"/>
                      <w:szCs w:val="22"/>
                      <w:highlight w:val="none"/>
                      <w:lang w:val="en-US" w:eastAsia="zh-CN" w:bidi="ar-SA"/>
                    </w:rPr>
                  </w:pPr>
                  <w:r>
                    <w:rPr>
                      <w:rFonts w:hint="eastAsia"/>
                      <w:szCs w:val="2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shd w:val="clear" w:color="auto" w:fill="auto"/>
                  <w:vAlign w:val="top"/>
                </w:tcPr>
                <w:p>
                  <w:pPr>
                    <w:rPr>
                      <w:rFonts w:ascii="Times New Roman" w:hAnsi="Times New Roman" w:eastAsia="宋体" w:cs="Times New Roman"/>
                      <w:kern w:val="2"/>
                      <w:sz w:val="21"/>
                      <w:szCs w:val="22"/>
                      <w:highlight w:val="none"/>
                      <w:lang w:val="en-US" w:eastAsia="zh-CN" w:bidi="ar-SA"/>
                    </w:rPr>
                  </w:pPr>
                  <w:r>
                    <w:rPr>
                      <w:rFonts w:hint="eastAsia"/>
                      <w:szCs w:val="22"/>
                      <w:highlight w:val="none"/>
                    </w:rPr>
                    <w:t>成品质量合格率≥95%</w:t>
                  </w:r>
                </w:p>
              </w:tc>
              <w:tc>
                <w:tcPr>
                  <w:tcW w:w="1114" w:type="dxa"/>
                  <w:shd w:val="clear" w:color="auto" w:fill="auto"/>
                  <w:vAlign w:val="top"/>
                </w:tcPr>
                <w:p>
                  <w:pPr>
                    <w:rPr>
                      <w:rFonts w:ascii="Times New Roman" w:hAnsi="Times New Roman" w:eastAsia="宋体" w:cs="Times New Roman"/>
                      <w:kern w:val="2"/>
                      <w:sz w:val="21"/>
                      <w:szCs w:val="22"/>
                      <w:highlight w:val="none"/>
                      <w:lang w:val="en-US" w:eastAsia="zh-CN" w:bidi="ar-SA"/>
                    </w:rPr>
                  </w:pPr>
                  <w:r>
                    <w:rPr>
                      <w:rFonts w:hint="eastAsia"/>
                      <w:szCs w:val="22"/>
                      <w:highlight w:val="none"/>
                    </w:rPr>
                    <w:t>每月</w:t>
                  </w:r>
                </w:p>
              </w:tc>
              <w:tc>
                <w:tcPr>
                  <w:tcW w:w="3226" w:type="dxa"/>
                  <w:shd w:val="clear" w:color="auto" w:fill="auto"/>
                  <w:vAlign w:val="top"/>
                </w:tcPr>
                <w:p>
                  <w:pPr>
                    <w:rPr>
                      <w:rFonts w:ascii="Times New Roman" w:hAnsi="Times New Roman" w:eastAsia="宋体" w:cs="Times New Roman"/>
                      <w:kern w:val="2"/>
                      <w:sz w:val="21"/>
                      <w:szCs w:val="22"/>
                      <w:highlight w:val="none"/>
                      <w:lang w:val="en-US" w:eastAsia="zh-CN" w:bidi="ar-SA"/>
                    </w:rPr>
                  </w:pPr>
                  <w:r>
                    <w:rPr>
                      <w:rFonts w:hint="eastAsia"/>
                      <w:szCs w:val="22"/>
                      <w:highlight w:val="none"/>
                    </w:rPr>
                    <w:t>成品质量合格批数/成品总批数*100％</w:t>
                  </w:r>
                </w:p>
              </w:tc>
              <w:tc>
                <w:tcPr>
                  <w:tcW w:w="1774" w:type="dxa"/>
                  <w:shd w:val="clear" w:color="auto" w:fill="auto"/>
                  <w:vAlign w:val="top"/>
                </w:tcPr>
                <w:p>
                  <w:pPr>
                    <w:rPr>
                      <w:rFonts w:ascii="Times New Roman" w:hAnsi="Times New Roman" w:eastAsia="宋体" w:cs="Times New Roman"/>
                      <w:kern w:val="2"/>
                      <w:sz w:val="21"/>
                      <w:szCs w:val="22"/>
                      <w:highlight w:val="none"/>
                      <w:lang w:val="en-US" w:eastAsia="zh-CN" w:bidi="ar-SA"/>
                    </w:rPr>
                  </w:pPr>
                  <w:r>
                    <w:rPr>
                      <w:rFonts w:hint="eastAsia"/>
                      <w:szCs w:val="22"/>
                      <w:highlight w:val="none"/>
                      <w:lang w:val="en-US" w:eastAsia="zh-CN"/>
                    </w:rPr>
                    <w:t>已完成</w:t>
                  </w:r>
                </w:p>
              </w:tc>
            </w:tr>
          </w:tbl>
          <w:p>
            <w:pPr>
              <w:rPr>
                <w:rFonts w:hint="default" w:eastAsia="宋体"/>
                <w:highlight w:val="none"/>
                <w:lang w:val="en-US" w:eastAsia="zh-CN"/>
              </w:rPr>
            </w:pPr>
            <w:r>
              <w:rPr>
                <w:rFonts w:hint="eastAsia"/>
                <w:highlight w:val="none"/>
              </w:rPr>
              <w:sym w:font="Wingdings" w:char="00FE"/>
            </w:r>
            <w:r>
              <w:rPr>
                <w:rFonts w:hint="eastAsia"/>
                <w:highlight w:val="none"/>
              </w:rPr>
              <w:t>目标已实现</w:t>
            </w:r>
            <w:r>
              <w:rPr>
                <w:rFonts w:hint="eastAsia"/>
                <w:highlight w:val="none"/>
                <w:lang w:eastAsia="zh-CN"/>
              </w:rPr>
              <w:t>，</w:t>
            </w:r>
            <w:r>
              <w:rPr>
                <w:rFonts w:hint="eastAsia"/>
                <w:highlight w:val="none"/>
                <w:lang w:val="en-US" w:eastAsia="zh-CN"/>
              </w:rPr>
              <w:t>2022年度目标在实施中</w:t>
            </w:r>
          </w:p>
          <w:p>
            <w:pPr>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c>
          <w:tcPr>
            <w:tcW w:w="1590" w:type="dxa"/>
            <w:gridSpan w:val="2"/>
            <w:vMerge w:val="continue"/>
            <w:shd w:val="clear" w:color="auto" w:fill="FFFFFF" w:themeFill="background1"/>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4" w:type="dxa"/>
            <w:vMerge w:val="restart"/>
            <w:shd w:val="clear" w:color="auto" w:fill="FFFFFF" w:themeFill="background1"/>
          </w:tcPr>
          <w:p>
            <w:pPr>
              <w:rPr>
                <w:color w:val="000000"/>
                <w:szCs w:val="21"/>
              </w:rPr>
            </w:pPr>
            <w:r>
              <w:rPr>
                <w:rFonts w:hint="eastAsia"/>
                <w:color w:val="000000"/>
                <w:szCs w:val="21"/>
              </w:rPr>
              <w:t>变更的策划</w:t>
            </w:r>
          </w:p>
          <w:p/>
        </w:tc>
        <w:tc>
          <w:tcPr>
            <w:tcW w:w="952" w:type="dxa"/>
            <w:vMerge w:val="restart"/>
            <w:shd w:val="clear" w:color="auto" w:fill="FFFFFF" w:themeFill="background1"/>
          </w:tcPr>
          <w:p>
            <w:r>
              <w:rPr>
                <w:rFonts w:hint="eastAsia"/>
                <w:color w:val="000000"/>
                <w:szCs w:val="21"/>
              </w:rPr>
              <w:t>F6.3</w:t>
            </w:r>
          </w:p>
        </w:tc>
        <w:tc>
          <w:tcPr>
            <w:tcW w:w="761" w:type="dxa"/>
            <w:shd w:val="clear" w:color="auto" w:fill="FFFFFF" w:themeFill="background1"/>
          </w:tcPr>
          <w:p>
            <w:r>
              <w:rPr>
                <w:rFonts w:hint="eastAsia"/>
              </w:rPr>
              <w:t>文件名称</w:t>
            </w:r>
          </w:p>
        </w:tc>
        <w:tc>
          <w:tcPr>
            <w:tcW w:w="9367" w:type="dxa"/>
            <w:shd w:val="clear" w:color="auto" w:fill="FFFFFF" w:themeFill="background1"/>
          </w:tcPr>
          <w:p>
            <w:r>
              <w:rPr>
                <w:rFonts w:hint="eastAsia"/>
              </w:rPr>
              <w:t>如：手册第6.3条款、</w:t>
            </w:r>
          </w:p>
        </w:tc>
        <w:tc>
          <w:tcPr>
            <w:tcW w:w="1590" w:type="dxa"/>
            <w:gridSpan w:val="2"/>
            <w:vMerge w:val="restart"/>
            <w:shd w:val="clear" w:color="auto" w:fill="FFFFFF" w:themeFill="background1"/>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044" w:type="dxa"/>
            <w:vMerge w:val="continue"/>
            <w:shd w:val="clear" w:color="auto" w:fill="FFFFFF" w:themeFill="background1"/>
          </w:tcPr>
          <w:p/>
        </w:tc>
        <w:tc>
          <w:tcPr>
            <w:tcW w:w="952" w:type="dxa"/>
            <w:vMerge w:val="continue"/>
            <w:shd w:val="clear" w:color="auto" w:fill="FFFFFF" w:themeFill="background1"/>
          </w:tcPr>
          <w:p/>
        </w:tc>
        <w:tc>
          <w:tcPr>
            <w:tcW w:w="761" w:type="dxa"/>
            <w:shd w:val="clear" w:color="auto" w:fill="FFFFFF" w:themeFill="background1"/>
          </w:tcPr>
          <w:p>
            <w:r>
              <w:rPr>
                <w:rFonts w:hint="eastAsia"/>
              </w:rPr>
              <w:t>运行证据</w:t>
            </w:r>
          </w:p>
        </w:tc>
        <w:tc>
          <w:tcPr>
            <w:tcW w:w="9367" w:type="dxa"/>
            <w:shd w:val="clear" w:color="auto" w:fill="FFFFFF" w:themeFill="background1"/>
          </w:tcPr>
          <w:p>
            <w:r>
              <w:rPr>
                <w:rFonts w:hint="eastAsia"/>
                <w:color w:val="000000"/>
                <w:szCs w:val="21"/>
              </w:rPr>
              <w:t xml:space="preserve"> </w:t>
            </w:r>
            <w:r>
              <w:rPr>
                <w:rFonts w:hint="eastAsia"/>
              </w:rPr>
              <w:t>组织对相关管理体系进行变更时，变更应按所策划的方式实施；审核周期内的重大变更有：</w:t>
            </w:r>
          </w:p>
          <w:p>
            <w:pPr>
              <w:spacing w:before="40" w:after="40"/>
            </w:pPr>
            <w:r>
              <w:rPr>
                <w:rFonts w:hint="eastAsia"/>
              </w:rPr>
              <w:t xml:space="preserve">□组织结构变更 □部门职责变更 □主要原材料 □关键人员 □生产工艺/服务流程 </w:t>
            </w:r>
          </w:p>
          <w:p>
            <w:pPr>
              <w:spacing w:before="40" w:after="40"/>
            </w:pPr>
            <w:r>
              <w:rPr>
                <w:rFonts w:hint="eastAsia"/>
              </w:rPr>
              <w:t>□主要设备设施 □主要检测设备 ☑其他（</w:t>
            </w:r>
            <w:r>
              <w:rPr>
                <w:rFonts w:hint="eastAsia"/>
                <w:lang w:val="en-US" w:eastAsia="zh-CN"/>
              </w:rPr>
              <w:t>审核周期内</w:t>
            </w:r>
            <w:r>
              <w:rPr>
                <w:rFonts w:hint="eastAsia"/>
              </w:rPr>
              <w:t>没有发生变更）</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3632"/>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体系变更的内容说明</w:t>
                  </w:r>
                </w:p>
              </w:tc>
              <w:tc>
                <w:tcPr>
                  <w:tcW w:w="3632" w:type="dxa"/>
                </w:tcP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评价内容</w:t>
                  </w:r>
                </w:p>
              </w:tc>
              <w:tc>
                <w:tcPr>
                  <w:tcW w:w="3632" w:type="dxa"/>
                </w:tcPr>
                <w:p>
                  <w:r>
                    <w:rPr>
                      <w:rFonts w:hint="eastAsia"/>
                    </w:rPr>
                    <w:t>评价具体描述</w:t>
                  </w:r>
                </w:p>
              </w:tc>
              <w:tc>
                <w:tcPr>
                  <w:tcW w:w="3015" w:type="dxa"/>
                </w:tcPr>
                <w:p>
                  <w:r>
                    <w:rPr>
                      <w:rFonts w:hint="eastAsia"/>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变更目的</w:t>
                  </w:r>
                </w:p>
              </w:tc>
              <w:tc>
                <w:tcPr>
                  <w:tcW w:w="3632" w:type="dxa"/>
                </w:tcPr>
                <w:p>
                  <w:r>
                    <w:rPr>
                      <w:rFonts w:hint="eastAsi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其潜在后果</w:t>
                  </w:r>
                </w:p>
              </w:tc>
              <w:tc>
                <w:tcPr>
                  <w:tcW w:w="3632" w:type="dxa"/>
                </w:tcPr>
                <w:p>
                  <w:r>
                    <w:rPr>
                      <w:rFonts w:hint="eastAsi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食品安全管理体系的完整性</w:t>
                  </w:r>
                </w:p>
              </w:tc>
              <w:tc>
                <w:tcPr>
                  <w:tcW w:w="3632" w:type="dxa"/>
                </w:tcPr>
                <w:p>
                  <w:r>
                    <w:rPr>
                      <w:rFonts w:hint="eastAsi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资源的可获得性</w:t>
                  </w:r>
                </w:p>
              </w:tc>
              <w:tc>
                <w:tcPr>
                  <w:tcW w:w="3632" w:type="dxa"/>
                </w:tcPr>
                <w:p>
                  <w:r>
                    <w:rPr>
                      <w:rFonts w:hint="eastAsi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职责和权限的分配或再分配</w:t>
                  </w:r>
                </w:p>
              </w:tc>
              <w:tc>
                <w:tcPr>
                  <w:tcW w:w="3632" w:type="dxa"/>
                </w:tcPr>
                <w:p>
                  <w:r>
                    <w:rPr>
                      <w:rFonts w:hint="eastAsi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bl>
          <w:p/>
          <w:p/>
        </w:tc>
        <w:tc>
          <w:tcPr>
            <w:tcW w:w="1590" w:type="dxa"/>
            <w:gridSpan w:val="2"/>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44" w:type="dxa"/>
            <w:vMerge w:val="restart"/>
            <w:shd w:val="clear" w:color="auto" w:fill="auto"/>
          </w:tcPr>
          <w:p>
            <w:r>
              <w:rPr>
                <w:rFonts w:hint="eastAsia"/>
              </w:rPr>
              <w:t>资源（总则）</w:t>
            </w:r>
          </w:p>
        </w:tc>
        <w:tc>
          <w:tcPr>
            <w:tcW w:w="952" w:type="dxa"/>
            <w:vMerge w:val="restart"/>
            <w:shd w:val="clear" w:color="auto" w:fill="auto"/>
          </w:tcPr>
          <w:p>
            <w:r>
              <w:rPr>
                <w:rFonts w:hint="eastAsia"/>
                <w:color w:val="000000"/>
                <w:szCs w:val="21"/>
              </w:rPr>
              <w:t>F7.1.1</w:t>
            </w:r>
          </w:p>
        </w:tc>
        <w:tc>
          <w:tcPr>
            <w:tcW w:w="761" w:type="dxa"/>
            <w:shd w:val="clear" w:color="auto" w:fill="auto"/>
          </w:tcPr>
          <w:p>
            <w:r>
              <w:rPr>
                <w:rFonts w:hint="eastAsia"/>
              </w:rPr>
              <w:t>文件名称</w:t>
            </w:r>
          </w:p>
        </w:tc>
        <w:tc>
          <w:tcPr>
            <w:tcW w:w="9367" w:type="dxa"/>
            <w:shd w:val="clear" w:color="auto" w:fill="auto"/>
          </w:tcPr>
          <w:p>
            <w:r>
              <w:rPr>
                <w:rFonts w:hint="eastAsia"/>
              </w:rPr>
              <w:t>如：手册第7.1条款、</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044" w:type="dxa"/>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pPr>
              <w:rPr>
                <w:color w:val="000000"/>
                <w:szCs w:val="21"/>
              </w:rPr>
            </w:pPr>
            <w:r>
              <w:rPr>
                <w:rFonts w:hint="eastAsia"/>
                <w:color w:val="000000"/>
                <w:szCs w:val="21"/>
              </w:rPr>
              <w:t xml:space="preserve">和最高管理层确定并提供所需的资源，以建立、实施、保持和持续改进食品管理体系。 </w:t>
            </w:r>
          </w:p>
          <w:p>
            <w:pPr>
              <w:numPr>
                <w:ilvl w:val="0"/>
                <w:numId w:val="3"/>
              </w:numPr>
              <w:rPr>
                <w:color w:val="000000"/>
                <w:szCs w:val="21"/>
              </w:rPr>
            </w:pPr>
            <w:r>
              <w:rPr>
                <w:rFonts w:hint="eastAsia"/>
                <w:color w:val="000000"/>
                <w:szCs w:val="21"/>
              </w:rPr>
              <w:t>现有内部资源的能力；</w:t>
            </w:r>
          </w:p>
          <w:p>
            <w:pPr>
              <w:ind w:firstLine="210" w:firstLineChars="100"/>
            </w:pPr>
            <w:r>
              <w:rPr>
                <w:rFonts w:hint="eastAsia"/>
              </w:rPr>
              <w:t>建筑面积</w:t>
            </w:r>
            <w:r>
              <w:rPr>
                <w:rFonts w:hint="eastAsia"/>
                <w:u w:val="single"/>
              </w:rPr>
              <w:t xml:space="preserve"> 2100 </w:t>
            </w:r>
            <w:r>
              <w:rPr>
                <w:rFonts w:hint="eastAsia"/>
              </w:rPr>
              <w:t>平方米；加工间</w:t>
            </w:r>
            <w:r>
              <w:rPr>
                <w:rFonts w:hint="eastAsia"/>
                <w:u w:val="single"/>
              </w:rPr>
              <w:t xml:space="preserve"> 1 </w:t>
            </w:r>
            <w:r>
              <w:rPr>
                <w:rFonts w:hint="eastAsia"/>
              </w:rPr>
              <w:t>个；库房</w:t>
            </w:r>
            <w:r>
              <w:rPr>
                <w:rFonts w:hint="eastAsia"/>
                <w:u w:val="single"/>
              </w:rPr>
              <w:t xml:space="preserve"> 2 </w:t>
            </w:r>
            <w:r>
              <w:rPr>
                <w:rFonts w:hint="eastAsia"/>
              </w:rPr>
              <w:t>个；化验室</w:t>
            </w:r>
            <w:r>
              <w:rPr>
                <w:rFonts w:hint="eastAsia"/>
                <w:u w:val="single"/>
              </w:rPr>
              <w:t xml:space="preserve"> 1 </w:t>
            </w:r>
            <w:r>
              <w:rPr>
                <w:rFonts w:hint="eastAsia"/>
              </w:rPr>
              <w:t>个；办公室</w:t>
            </w:r>
            <w:r>
              <w:rPr>
                <w:rFonts w:hint="eastAsia"/>
                <w:u w:val="single"/>
              </w:rPr>
              <w:t xml:space="preserve"> 1 </w:t>
            </w:r>
            <w:r>
              <w:rPr>
                <w:rFonts w:hint="eastAsia"/>
              </w:rPr>
              <w:t>个；</w:t>
            </w:r>
          </w:p>
          <w:p>
            <w:pPr>
              <w:ind w:firstLine="210" w:firstLineChars="100"/>
              <w:rPr>
                <w:rFonts w:ascii="宋体" w:hAnsi="宋体"/>
                <w:szCs w:val="21"/>
                <w:u w:val="single"/>
              </w:rPr>
            </w:pPr>
            <w:r>
              <w:rPr>
                <w:rFonts w:hint="eastAsia" w:ascii="宋体" w:hAnsi="宋体"/>
                <w:szCs w:val="21"/>
                <w:u w:val="single"/>
              </w:rPr>
              <w:t>查看原料入库、生产加工、成品出库等过程管理，与流程图基本一致。</w:t>
            </w:r>
          </w:p>
          <w:p>
            <w:pPr>
              <w:widowControl/>
              <w:spacing w:before="40"/>
              <w:jc w:val="left"/>
              <w:rPr>
                <w:color w:val="000000"/>
              </w:rPr>
            </w:pPr>
            <w:r>
              <w:rPr>
                <w:rFonts w:hint="eastAsia"/>
                <w:color w:val="000000"/>
              </w:rPr>
              <w:t>动力设施和辅助设施的状况，存在下列的场所：</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高压配电室  </w:t>
            </w:r>
            <w:r>
              <w:rPr>
                <w:color w:val="000000"/>
              </w:rPr>
              <w:sym w:font="Wingdings" w:char="00A8"/>
            </w:r>
            <w:r>
              <w:rPr>
                <w:rFonts w:hint="eastAsia"/>
                <w:color w:val="000000"/>
              </w:rPr>
              <w:t>低压配电室</w:t>
            </w:r>
            <w:r>
              <w:rPr>
                <w:rFonts w:hint="eastAsia"/>
              </w:rPr>
              <w:sym w:font="Wingdings" w:char="00FE"/>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消防中控室</w:t>
            </w:r>
          </w:p>
          <w:p>
            <w:pPr>
              <w:widowControl/>
              <w:spacing w:before="40"/>
              <w:ind w:left="210" w:leftChars="100"/>
              <w:jc w:val="left"/>
              <w:rPr>
                <w:color w:val="000000"/>
              </w:rPr>
            </w:pPr>
            <w:r>
              <w:rPr>
                <w:color w:val="000000"/>
              </w:rPr>
              <w:sym w:font="Wingdings" w:char="00A8"/>
            </w:r>
            <w:r>
              <w:rPr>
                <w:rFonts w:hint="eastAsia"/>
                <w:color w:val="000000"/>
              </w:rPr>
              <w:t xml:space="preserve">消防泵房   </w:t>
            </w:r>
            <w:r>
              <w:rPr>
                <w:color w:val="000000"/>
              </w:rPr>
              <w:sym w:font="Wingdings" w:char="00A8"/>
            </w:r>
            <w:r>
              <w:rPr>
                <w:rFonts w:hint="eastAsia"/>
                <w:color w:val="000000"/>
              </w:rPr>
              <w:t xml:space="preserve">除尘装置 </w:t>
            </w:r>
            <w:r>
              <w:rPr>
                <w:color w:val="000000"/>
              </w:rPr>
              <w:sym w:font="Wingdings" w:char="00A8"/>
            </w:r>
            <w:r>
              <w:rPr>
                <w:rFonts w:hint="eastAsia"/>
                <w:color w:val="000000"/>
              </w:rPr>
              <w:t xml:space="preserve">尾气处理  </w:t>
            </w:r>
            <w:r>
              <w:rPr>
                <w:color w:val="000000"/>
              </w:rPr>
              <w:sym w:font="Wingdings" w:char="00A8"/>
            </w:r>
            <w:r>
              <w:rPr>
                <w:rFonts w:hint="eastAsia"/>
                <w:color w:val="000000"/>
              </w:rPr>
              <w:t xml:space="preserve">危化品库房   </w:t>
            </w:r>
            <w:r>
              <w:rPr>
                <w:color w:val="000000"/>
              </w:rPr>
              <w:sym w:font="Wingdings" w:char="00A8"/>
            </w:r>
            <w:r>
              <w:rPr>
                <w:rFonts w:hint="eastAsia"/>
                <w:color w:val="000000"/>
              </w:rPr>
              <w:t xml:space="preserve">危险废弃物存放处   </w:t>
            </w:r>
            <w:r>
              <w:rPr>
                <w:color w:val="000000"/>
              </w:rPr>
              <w:sym w:font="Wingdings" w:char="00A8"/>
            </w:r>
            <w:r>
              <w:rPr>
                <w:rFonts w:hint="eastAsia"/>
                <w:color w:val="000000"/>
              </w:rPr>
              <w:t xml:space="preserve">改建/扩建施工现场 </w:t>
            </w:r>
            <w:r>
              <w:rPr>
                <w:color w:val="000000"/>
              </w:rPr>
              <w:sym w:font="Wingdings" w:char="00A8"/>
            </w:r>
            <w:r>
              <w:rPr>
                <w:rFonts w:hint="eastAsia"/>
                <w:color w:val="000000"/>
              </w:rPr>
              <w:t xml:space="preserve">食堂  </w:t>
            </w:r>
            <w:r>
              <w:rPr>
                <w:color w:val="000000"/>
              </w:rPr>
              <w:sym w:font="Wingdings" w:char="00A8"/>
            </w:r>
            <w:r>
              <w:rPr>
                <w:rFonts w:hint="eastAsia"/>
                <w:color w:val="000000"/>
              </w:rPr>
              <w:t xml:space="preserve">宿舍  </w:t>
            </w:r>
            <w:r>
              <w:rPr>
                <w:color w:val="000000"/>
              </w:rPr>
              <w:sym w:font="Wingdings" w:char="00A8"/>
            </w:r>
            <w:r>
              <w:rPr>
                <w:rFonts w:hint="eastAsia"/>
                <w:color w:val="000000"/>
              </w:rPr>
              <w:t xml:space="preserve">班车  </w:t>
            </w:r>
            <w:r>
              <w:rPr>
                <w:color w:val="000000"/>
              </w:rPr>
              <w:sym w:font="Wingdings" w:char="00A8"/>
            </w:r>
            <w:r>
              <w:rPr>
                <w:rFonts w:hint="eastAsia"/>
                <w:color w:val="000000"/>
              </w:rPr>
              <w:t xml:space="preserve">其他—— </w:t>
            </w:r>
          </w:p>
          <w:p/>
          <w:p>
            <w:pPr>
              <w:rPr>
                <w:u w:val="single"/>
              </w:rPr>
            </w:pPr>
            <w:r>
              <w:rPr>
                <w:rFonts w:hint="eastAsia"/>
              </w:rPr>
              <w:t>主要生产设备有：</w:t>
            </w:r>
            <w:r>
              <w:rPr>
                <w:rFonts w:hint="eastAsia"/>
                <w:u w:val="single"/>
              </w:rPr>
              <w:t xml:space="preserve">  全自动微电脑高速吸塑机、液压杯盖成型机、螺旋式压缩机、裁断机                          （列举2~4种）</w:t>
            </w:r>
          </w:p>
          <w:p>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FE"/>
            </w:r>
            <w:r>
              <w:rPr>
                <w:rFonts w:hint="eastAsia"/>
              </w:rPr>
              <w:t xml:space="preserve">不适用  </w:t>
            </w:r>
          </w:p>
          <w:p>
            <w:pPr>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rPr>
                <w:color w:val="000000"/>
                <w:szCs w:val="21"/>
              </w:rPr>
            </w:pPr>
          </w:p>
          <w:p>
            <w:pPr>
              <w:rPr>
                <w:color w:val="000000"/>
                <w:szCs w:val="21"/>
              </w:rPr>
            </w:pPr>
            <w:r>
              <w:rPr>
                <w:rFonts w:hint="eastAsia"/>
                <w:color w:val="000000"/>
                <w:szCs w:val="21"/>
              </w:rPr>
              <w:t>还存在哪些局限和不足：</w:t>
            </w:r>
            <w:r>
              <w:rPr>
                <w:rFonts w:hint="eastAsia"/>
                <w:u w:val="single"/>
              </w:rPr>
              <w:t xml:space="preserve">                                  </w:t>
            </w:r>
          </w:p>
          <w:p>
            <w:pPr>
              <w:rPr>
                <w:color w:val="000000"/>
                <w:szCs w:val="21"/>
              </w:rPr>
            </w:pPr>
          </w:p>
          <w:p>
            <w:pPr>
              <w:numPr>
                <w:ilvl w:val="0"/>
                <w:numId w:val="3"/>
              </w:numPr>
            </w:pPr>
            <w:r>
              <w:rPr>
                <w:rFonts w:hint="eastAsia"/>
                <w:color w:val="000000"/>
                <w:szCs w:val="21"/>
              </w:rPr>
              <w:t>需要从外部供方获得的资源：</w:t>
            </w:r>
            <w:r>
              <w:rPr>
                <w:rFonts w:hint="eastAsia"/>
              </w:rPr>
              <w:t xml:space="preserve"> </w:t>
            </w:r>
            <w:r>
              <w:rPr>
                <w:rFonts w:hint="eastAsia"/>
                <w:u w:val="single"/>
              </w:rPr>
              <w:t xml:space="preserve">   </w:t>
            </w:r>
            <w:r>
              <w:rPr>
                <w:rFonts w:hint="eastAsia"/>
                <w:u w:val="single"/>
                <w:lang w:val="en-US" w:eastAsia="zh-CN"/>
              </w:rPr>
              <w:t>虫鼠害控制外包</w:t>
            </w:r>
            <w:r>
              <w:rPr>
                <w:rFonts w:hint="eastAsia"/>
                <w:u w:val="single"/>
              </w:rPr>
              <w:t xml:space="preserve">                              </w:t>
            </w:r>
            <w:r>
              <w:rPr>
                <w:rFonts w:hint="eastAsia"/>
              </w:rPr>
              <w:t xml:space="preserve">  </w:t>
            </w:r>
          </w:p>
          <w:p>
            <w:r>
              <w:rPr>
                <w:rFonts w:hint="eastAsia"/>
              </w:rPr>
              <w:t xml:space="preserve">         </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44" w:type="dxa"/>
            <w:vMerge w:val="restart"/>
          </w:tcPr>
          <w:p>
            <w:r>
              <w:rPr>
                <w:rFonts w:hint="eastAsia"/>
              </w:rPr>
              <w:t xml:space="preserve">沟通  </w:t>
            </w:r>
          </w:p>
        </w:tc>
        <w:tc>
          <w:tcPr>
            <w:tcW w:w="952" w:type="dxa"/>
            <w:vMerge w:val="restart"/>
          </w:tcPr>
          <w:p>
            <w:r>
              <w:rPr>
                <w:rFonts w:hint="eastAsia"/>
              </w:rPr>
              <w:t xml:space="preserve">F7.4  </w:t>
            </w:r>
          </w:p>
        </w:tc>
        <w:tc>
          <w:tcPr>
            <w:tcW w:w="761" w:type="dxa"/>
          </w:tcPr>
          <w:p>
            <w:r>
              <w:rPr>
                <w:rFonts w:hint="eastAsia"/>
              </w:rPr>
              <w:t>文件名称</w:t>
            </w:r>
          </w:p>
        </w:tc>
        <w:tc>
          <w:tcPr>
            <w:tcW w:w="9367" w:type="dxa"/>
          </w:tcPr>
          <w:p>
            <w:r>
              <w:rPr>
                <w:rFonts w:hint="eastAsia"/>
              </w:rPr>
              <w:t>如：管理手册第7.4章、《内外部沟通控制程序》</w:t>
            </w:r>
          </w:p>
        </w:tc>
        <w:tc>
          <w:tcPr>
            <w:tcW w:w="1590" w:type="dxa"/>
            <w:gridSpan w:val="2"/>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044" w:type="dxa"/>
            <w:vMerge w:val="continue"/>
          </w:tcPr>
          <w:p/>
        </w:tc>
        <w:tc>
          <w:tcPr>
            <w:tcW w:w="952" w:type="dxa"/>
            <w:vMerge w:val="continue"/>
          </w:tcPr>
          <w:p/>
        </w:tc>
        <w:tc>
          <w:tcPr>
            <w:tcW w:w="761" w:type="dxa"/>
          </w:tcPr>
          <w:p>
            <w:r>
              <w:rPr>
                <w:rFonts w:hint="eastAsia"/>
              </w:rPr>
              <w:t>运行证据</w:t>
            </w:r>
          </w:p>
        </w:tc>
        <w:tc>
          <w:tcPr>
            <w:tcW w:w="9367" w:type="dxa"/>
          </w:tcPr>
          <w:p>
            <w:r>
              <w:rPr>
                <w:rFonts w:hint="eastAsia"/>
              </w:rPr>
              <w:t>组织考虑了合规义务，确保质量/食品安全信息与质量/食品安全管理体系形成的信息一致且真实可信。一般由办公室负责。</w:t>
            </w:r>
          </w:p>
          <w:p>
            <w:r>
              <w:rPr>
                <w:rFonts w:hint="eastAsia"/>
              </w:rPr>
              <w:t>外部沟通的控制对象：</w:t>
            </w:r>
            <w:r>
              <w:rPr>
                <w:rFonts w:hint="eastAsia"/>
                <w:color w:val="000000"/>
                <w:szCs w:val="21"/>
              </w:rPr>
              <w:t xml:space="preserve">☑市场监督管理局 </w:t>
            </w:r>
            <w:r>
              <w:rPr>
                <w:color w:val="000000"/>
                <w:szCs w:val="21"/>
              </w:rPr>
              <w:t xml:space="preserve"> </w:t>
            </w:r>
            <w:r>
              <w:rPr>
                <w:rFonts w:hint="eastAsia"/>
              </w:rPr>
              <w:sym w:font="Wingdings" w:char="00FE"/>
            </w:r>
            <w:r>
              <w:rPr>
                <w:rFonts w:hint="eastAsia"/>
                <w:color w:val="000000"/>
                <w:szCs w:val="21"/>
              </w:rPr>
              <w:t xml:space="preserve">消防大队 ☑顾客 ☑供方 </w:t>
            </w:r>
            <w:r>
              <w:rPr>
                <w:rFonts w:hint="eastAsia"/>
                <w:color w:val="000000"/>
                <w:szCs w:val="21"/>
              </w:rPr>
              <w:sym w:font="Wingdings 2" w:char="0052"/>
            </w:r>
            <w:r>
              <w:rPr>
                <w:rFonts w:hint="eastAsia"/>
                <w:color w:val="000000"/>
                <w:szCs w:val="21"/>
              </w:rPr>
              <w:t>外包方 □网站</w:t>
            </w:r>
          </w:p>
          <w:p/>
          <w:p>
            <w:r>
              <w:rPr>
                <w:rFonts w:hint="eastAsia"/>
              </w:rPr>
              <w:t>内部沟通的控制方式：</w:t>
            </w:r>
            <w:r>
              <w:rPr>
                <w:rFonts w:hint="eastAsia"/>
                <w:color w:val="000000"/>
                <w:szCs w:val="21"/>
              </w:rPr>
              <w:t xml:space="preserve">☑会议 ☑表单传递 ☑微信 ☑QQ ☑展板 </w:t>
            </w:r>
            <w:r>
              <w:rPr>
                <w:rFonts w:hint="eastAsia"/>
                <w:color w:val="000000"/>
                <w:szCs w:val="21"/>
              </w:rPr>
              <w:sym w:font="Wingdings 2" w:char="0052"/>
            </w:r>
            <w:r>
              <w:rPr>
                <w:rFonts w:hint="eastAsia"/>
                <w:color w:val="000000"/>
                <w:szCs w:val="21"/>
              </w:rPr>
              <w:t>标语</w:t>
            </w:r>
          </w:p>
        </w:tc>
        <w:tc>
          <w:tcPr>
            <w:tcW w:w="1590"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44" w:type="dxa"/>
            <w:vMerge w:val="restart"/>
            <w:shd w:val="clear" w:color="auto" w:fill="auto"/>
          </w:tcPr>
          <w:p>
            <w:r>
              <w:rPr>
                <w:rFonts w:hint="eastAsia"/>
              </w:rPr>
              <w:t>监视、测量、分析和评价</w:t>
            </w:r>
          </w:p>
          <w:p/>
        </w:tc>
        <w:tc>
          <w:tcPr>
            <w:tcW w:w="952" w:type="dxa"/>
            <w:vMerge w:val="restart"/>
            <w:shd w:val="clear" w:color="auto" w:fill="auto"/>
          </w:tcPr>
          <w:p>
            <w:r>
              <w:rPr>
                <w:rFonts w:hint="eastAsia"/>
              </w:rPr>
              <w:t>F9.1.1</w:t>
            </w:r>
          </w:p>
        </w:tc>
        <w:tc>
          <w:tcPr>
            <w:tcW w:w="761" w:type="dxa"/>
            <w:shd w:val="clear" w:color="auto" w:fill="auto"/>
          </w:tcPr>
          <w:p>
            <w:r>
              <w:rPr>
                <w:rFonts w:hint="eastAsia"/>
              </w:rPr>
              <w:t>文件名称</w:t>
            </w:r>
          </w:p>
        </w:tc>
        <w:tc>
          <w:tcPr>
            <w:tcW w:w="9367" w:type="dxa"/>
            <w:shd w:val="clear" w:color="auto" w:fill="auto"/>
          </w:tcPr>
          <w:p>
            <w:r>
              <w:rPr>
                <w:rFonts w:hint="eastAsia"/>
              </w:rPr>
              <w:t>如：</w:t>
            </w:r>
            <w:r>
              <w:rPr>
                <w:rFonts w:hint="eastAsia"/>
              </w:rPr>
              <w:sym w:font="Wingdings" w:char="00FE"/>
            </w:r>
            <w:r>
              <w:rPr>
                <w:rFonts w:hint="eastAsia"/>
              </w:rPr>
              <w:t>管理手册9.1.1章</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2044" w:type="dxa"/>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r>
              <w:rPr>
                <w:rFonts w:hint="eastAsia"/>
              </w:rPr>
              <w:t>组织对监视和测量的食品安全绩效</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483"/>
              <w:gridCol w:w="2082"/>
              <w:gridCol w:w="245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r>
                    <w:rPr>
                      <w:rFonts w:hint="eastAsia"/>
                    </w:rPr>
                    <w:t>监视和测量的对象</w:t>
                  </w:r>
                </w:p>
              </w:tc>
              <w:tc>
                <w:tcPr>
                  <w:tcW w:w="1483" w:type="dxa"/>
                </w:tcPr>
                <w:p>
                  <w:r>
                    <w:rPr>
                      <w:rFonts w:hint="eastAsia"/>
                    </w:rPr>
                    <w:t>监视、测量、分析和评价的方法</w:t>
                  </w:r>
                </w:p>
              </w:tc>
              <w:tc>
                <w:tcPr>
                  <w:tcW w:w="2082" w:type="dxa"/>
                </w:tcPr>
                <w:p>
                  <w:r>
                    <w:rPr>
                      <w:rFonts w:hint="eastAsia"/>
                    </w:rPr>
                    <w:t>监视和测量的频次和时机</w:t>
                  </w:r>
                </w:p>
              </w:tc>
              <w:tc>
                <w:tcPr>
                  <w:tcW w:w="2457" w:type="dxa"/>
                </w:tcPr>
                <w:p>
                  <w:r>
                    <w:rPr>
                      <w:rFonts w:hint="eastAsia"/>
                    </w:rPr>
                    <w:t>评价其食品安全绩效所依据的准则和适当的参数</w:t>
                  </w:r>
                </w:p>
              </w:tc>
              <w:tc>
                <w:tcPr>
                  <w:tcW w:w="2034" w:type="dxa"/>
                </w:tcPr>
                <w:p>
                  <w:r>
                    <w:rPr>
                      <w:rFonts w:hint="eastAsia"/>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highlight w:val="yellow"/>
                    </w:rPr>
                  </w:pPr>
                  <w:r>
                    <w:rPr>
                      <w:rFonts w:hint="eastAsia"/>
                    </w:rPr>
                    <w:t>原辅料及包装材料</w:t>
                  </w:r>
                </w:p>
              </w:tc>
              <w:tc>
                <w:tcPr>
                  <w:tcW w:w="1483" w:type="dxa"/>
                </w:tcPr>
                <w:p>
                  <w:r>
                    <w:rPr>
                      <w:rFonts w:hint="eastAsia"/>
                    </w:rPr>
                    <w:t>索证、入厂检验</w:t>
                  </w:r>
                </w:p>
              </w:tc>
              <w:tc>
                <w:tcPr>
                  <w:tcW w:w="2082"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 xml:space="preserve">□每年 </w:t>
                  </w:r>
                  <w:r>
                    <w:rPr>
                      <w:rFonts w:hint="eastAsia"/>
                      <w:color w:val="000000"/>
                      <w:szCs w:val="21"/>
                    </w:rPr>
                    <w:sym w:font="Wingdings 2" w:char="0052"/>
                  </w:r>
                  <w:r>
                    <w:rPr>
                      <w:rFonts w:hint="eastAsia"/>
                    </w:rPr>
                    <w:t>其他（每批）</w:t>
                  </w:r>
                </w:p>
              </w:tc>
              <w:tc>
                <w:tcPr>
                  <w:tcW w:w="2457" w:type="dxa"/>
                  <w:vAlign w:val="center"/>
                </w:tcPr>
                <w:p>
                  <w:pPr>
                    <w:rPr>
                      <w:szCs w:val="22"/>
                    </w:rPr>
                  </w:pPr>
                  <w:r>
                    <w:rPr>
                      <w:rFonts w:hint="eastAsia"/>
                      <w:szCs w:val="22"/>
                    </w:rPr>
                    <w:t xml:space="preserve">Q/XMDS 001-2019 GB </w:t>
                  </w:r>
                </w:p>
                <w:p>
                  <w:pPr>
                    <w:rPr>
                      <w:szCs w:val="22"/>
                    </w:rPr>
                  </w:pPr>
                  <w:r>
                    <w:rPr>
                      <w:rFonts w:hint="eastAsia"/>
                      <w:szCs w:val="22"/>
                    </w:rPr>
                    <w:t xml:space="preserve">4806.7-2016 </w:t>
                  </w:r>
                </w:p>
                <w:p>
                  <w:pPr>
                    <w:rPr>
                      <w:szCs w:val="22"/>
                    </w:rPr>
                  </w:pPr>
                  <w:r>
                    <w:rPr>
                      <w:rFonts w:hint="eastAsia"/>
                      <w:szCs w:val="22"/>
                    </w:rPr>
                    <w:t>QB/T 2471-2000</w:t>
                  </w:r>
                </w:p>
                <w:p>
                  <w:pPr>
                    <w:rPr>
                      <w:szCs w:val="22"/>
                    </w:rPr>
                  </w:pPr>
                  <w:r>
                    <w:rPr>
                      <w:rFonts w:hint="eastAsia"/>
                      <w:szCs w:val="22"/>
                    </w:rPr>
                    <w:t>Q/XMDS 002-2019</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 xml:space="preserve">☑每年 ☑每半年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highlight w:val="yellow"/>
                    </w:rPr>
                  </w:pPr>
                  <w:r>
                    <w:rPr>
                      <w:rFonts w:hint="eastAsia"/>
                    </w:rPr>
                    <w:t>成品</w:t>
                  </w:r>
                </w:p>
              </w:tc>
              <w:tc>
                <w:tcPr>
                  <w:tcW w:w="1483" w:type="dxa"/>
                </w:tcPr>
                <w:p>
                  <w:r>
                    <w:rPr>
                      <w:rFonts w:hint="eastAsia"/>
                    </w:rPr>
                    <w:t>委托第三方检测</w:t>
                  </w:r>
                </w:p>
              </w:tc>
              <w:tc>
                <w:tcPr>
                  <w:tcW w:w="2082"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 □</w:t>
                  </w:r>
                  <w:r>
                    <w:rPr>
                      <w:rFonts w:hint="eastAsia"/>
                    </w:rPr>
                    <w:t>其他</w:t>
                  </w:r>
                </w:p>
              </w:tc>
              <w:tc>
                <w:tcPr>
                  <w:tcW w:w="2457" w:type="dxa"/>
                </w:tcPr>
                <w:p>
                  <w:pPr>
                    <w:rPr>
                      <w:szCs w:val="22"/>
                    </w:rPr>
                  </w:pPr>
                  <w:r>
                    <w:rPr>
                      <w:rFonts w:hint="eastAsia"/>
                      <w:szCs w:val="22"/>
                    </w:rPr>
                    <w:t>GB 4806.7-2016 ；GB/T18006.1-2009</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highlight w:val="yellow"/>
                    </w:rPr>
                  </w:pPr>
                  <w:r>
                    <w:rPr>
                      <w:rFonts w:hint="eastAsia"/>
                    </w:rPr>
                    <w:t>过程</w:t>
                  </w:r>
                </w:p>
              </w:tc>
              <w:tc>
                <w:tcPr>
                  <w:tcW w:w="1483" w:type="dxa"/>
                </w:tcPr>
                <w:p>
                  <w:r>
                    <w:rPr>
                      <w:rFonts w:hint="eastAsia"/>
                    </w:rPr>
                    <w:t>现场巡视</w:t>
                  </w:r>
                </w:p>
                <w:p>
                  <w:r>
                    <w:rPr>
                      <w:rFonts w:hint="eastAsia"/>
                    </w:rPr>
                    <w:t>抽查记录</w:t>
                  </w:r>
                </w:p>
                <w:p>
                  <w:r>
                    <w:rPr>
                      <w:rFonts w:hint="eastAsia"/>
                    </w:rPr>
                    <w:t>对食品安全目标进行统计</w:t>
                  </w:r>
                </w:p>
              </w:tc>
              <w:tc>
                <w:tcPr>
                  <w:tcW w:w="2082" w:type="dxa"/>
                </w:tcPr>
                <w:p>
                  <w:r>
                    <w:rPr>
                      <w:rFonts w:hint="eastAsia"/>
                      <w:color w:val="000000"/>
                      <w:szCs w:val="21"/>
                    </w:rPr>
                    <w:t>☑</w:t>
                  </w:r>
                  <w:r>
                    <w:rPr>
                      <w:rFonts w:hint="eastAsia"/>
                    </w:rPr>
                    <w:t>定期检查</w:t>
                  </w:r>
                </w:p>
                <w:p>
                  <w:r>
                    <w:rPr>
                      <w:rFonts w:hint="eastAsia"/>
                      <w:color w:val="000000"/>
                      <w:szCs w:val="21"/>
                    </w:rPr>
                    <w:t>☑</w:t>
                  </w:r>
                  <w:r>
                    <w:rPr>
                      <w:rFonts w:hint="eastAsia"/>
                    </w:rPr>
                    <w:t>抽查</w:t>
                  </w:r>
                </w:p>
                <w:p/>
              </w:tc>
              <w:tc>
                <w:tcPr>
                  <w:tcW w:w="2457" w:type="dxa"/>
                </w:tcPr>
                <w:p>
                  <w:pPr>
                    <w:ind w:firstLine="4095" w:firstLineChars="1950"/>
                    <w:contextualSpacing/>
                    <w:rPr>
                      <w:rFonts w:hint="eastAsia" w:eastAsia="宋体"/>
                      <w:szCs w:val="22"/>
                      <w:lang w:val="en-US" w:eastAsia="zh-CN"/>
                    </w:rPr>
                  </w:pPr>
                  <w:r>
                    <w:rPr>
                      <w:rFonts w:hint="eastAsia"/>
                      <w:szCs w:val="22"/>
                    </w:rPr>
                    <w:t>生《生产过程检验规范》</w:t>
                  </w:r>
                  <w:r>
                    <w:rPr>
                      <w:rFonts w:hint="eastAsia"/>
                      <w:szCs w:val="22"/>
                      <w:lang w:val="en-US" w:eastAsia="zh-CN"/>
                    </w:rPr>
                    <w:t>等</w:t>
                  </w:r>
                </w:p>
              </w:tc>
              <w:tc>
                <w:tcPr>
                  <w:tcW w:w="2034" w:type="dxa"/>
                </w:tcPr>
                <w:p>
                  <w:pPr>
                    <w:widowControl/>
                    <w:spacing w:before="40"/>
                    <w:jc w:val="left"/>
                  </w:pPr>
                  <w:r>
                    <w:rPr>
                      <w:rFonts w:hint="eastAsia"/>
                      <w:color w:val="000000"/>
                      <w:szCs w:val="21"/>
                    </w:rPr>
                    <w:sym w:font="Wingdings 2" w:char="0052"/>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sym w:font="Wingdings 2" w:char="0052"/>
                  </w:r>
                  <w:r>
                    <w:rPr>
                      <w:rFonts w:hint="eastAsia"/>
                      <w:color w:val="000000"/>
                      <w:szCs w:val="21"/>
                    </w:rPr>
                    <w:t>每年 □</w:t>
                  </w:r>
                  <w:r>
                    <w:rPr>
                      <w:rFonts w:hint="eastAsia"/>
                    </w:rPr>
                    <w:t>每批</w:t>
                  </w:r>
                </w:p>
                <w:p>
                  <w:pPr>
                    <w:widowControl/>
                    <w:spacing w:before="40"/>
                    <w:jc w:val="left"/>
                  </w:pPr>
                  <w:r>
                    <w:rPr>
                      <w:rFonts w:hint="eastAsia"/>
                      <w:color w:val="000000"/>
                      <w:szCs w:val="21"/>
                    </w:rPr>
                    <w:sym w:font="Wingdings 2" w:char="00A3"/>
                  </w:r>
                  <w:r>
                    <w:rPr>
                      <w:rFonts w:hint="eastAsia"/>
                    </w:rPr>
                    <w:t>每半年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r>
                    <w:rPr>
                      <w:rFonts w:hint="eastAsia"/>
                    </w:rPr>
                    <w:t>体系</w:t>
                  </w:r>
                </w:p>
              </w:tc>
              <w:tc>
                <w:tcPr>
                  <w:tcW w:w="1483" w:type="dxa"/>
                </w:tcPr>
                <w:p>
                  <w:r>
                    <w:rPr>
                      <w:rFonts w:hint="eastAsia"/>
                    </w:rPr>
                    <w:t>内部审核；对内审不符合项进行分析</w:t>
                  </w:r>
                </w:p>
              </w:tc>
              <w:tc>
                <w:tcPr>
                  <w:tcW w:w="2082" w:type="dxa"/>
                </w:tcPr>
                <w:p>
                  <w:r>
                    <w:rPr>
                      <w:rFonts w:hint="eastAsia"/>
                      <w:color w:val="000000"/>
                      <w:szCs w:val="21"/>
                    </w:rPr>
                    <w:t>☑</w:t>
                  </w:r>
                  <w:r>
                    <w:rPr>
                      <w:rFonts w:hint="eastAsia"/>
                    </w:rPr>
                    <w:t>按年度内审计划</w:t>
                  </w:r>
                </w:p>
                <w:p>
                  <w:r>
                    <w:rPr>
                      <w:rFonts w:hint="eastAsia"/>
                      <w:color w:val="000000"/>
                      <w:szCs w:val="21"/>
                    </w:rPr>
                    <w:t>☑</w:t>
                  </w:r>
                  <w:r>
                    <w:rPr>
                      <w:rFonts w:hint="eastAsia"/>
                    </w:rPr>
                    <w:t>每年一次</w:t>
                  </w:r>
                </w:p>
                <w:p>
                  <w:r>
                    <w:rPr>
                      <w:rFonts w:hint="eastAsia"/>
                      <w:color w:val="000000"/>
                      <w:szCs w:val="21"/>
                    </w:rPr>
                    <w:t>☑特殊情况增加</w:t>
                  </w:r>
                </w:p>
              </w:tc>
              <w:tc>
                <w:tcPr>
                  <w:tcW w:w="2457" w:type="dxa"/>
                </w:tcPr>
                <w:p>
                  <w:pPr>
                    <w:rPr>
                      <w:szCs w:val="22"/>
                    </w:rPr>
                  </w:pPr>
                  <w:r>
                    <w:rPr>
                      <w:rFonts w:hint="eastAsia"/>
                      <w:szCs w:val="22"/>
                    </w:rPr>
                    <w:t>ISO22000:2018</w:t>
                  </w:r>
                </w:p>
                <w:p>
                  <w:pPr>
                    <w:rPr>
                      <w:rFonts w:hint="eastAsia" w:eastAsia="宋体"/>
                      <w:szCs w:val="22"/>
                      <w:lang w:eastAsia="zh-CN"/>
                    </w:rPr>
                  </w:pPr>
                  <w:r>
                    <w:rPr>
                      <w:rFonts w:hint="eastAsia"/>
                      <w:szCs w:val="22"/>
                      <w:lang w:eastAsia="zh-CN"/>
                    </w:rPr>
                    <w:t>《</w:t>
                  </w:r>
                  <w:r>
                    <w:rPr>
                      <w:rFonts w:hint="eastAsia"/>
                      <w:szCs w:val="22"/>
                      <w:lang w:val="en-US" w:eastAsia="zh-CN"/>
                    </w:rPr>
                    <w:t>内审控制程序</w:t>
                  </w:r>
                  <w:r>
                    <w:rPr>
                      <w:rFonts w:hint="eastAsia"/>
                      <w:szCs w:val="22"/>
                      <w:lang w:eastAsia="zh-CN"/>
                    </w:rPr>
                    <w:t>》</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r>
                    <w:rPr>
                      <w:rFonts w:hint="eastAsia"/>
                    </w:rPr>
                    <w:t>体系有效性</w:t>
                  </w:r>
                </w:p>
              </w:tc>
              <w:tc>
                <w:tcPr>
                  <w:tcW w:w="1483" w:type="dxa"/>
                </w:tcPr>
                <w:p>
                  <w:r>
                    <w:rPr>
                      <w:rFonts w:hint="eastAsia"/>
                    </w:rPr>
                    <w:t>管理评审，对</w:t>
                  </w:r>
                  <w:r>
                    <w:t>FSMS</w:t>
                  </w:r>
                  <w:r>
                    <w:rPr>
                      <w:rFonts w:hint="eastAsia"/>
                    </w:rPr>
                    <w:t>存在的需要问题进行分析</w:t>
                  </w:r>
                </w:p>
              </w:tc>
              <w:tc>
                <w:tcPr>
                  <w:tcW w:w="2082" w:type="dxa"/>
                </w:tcPr>
                <w:p>
                  <w:r>
                    <w:rPr>
                      <w:rFonts w:hint="eastAsia"/>
                      <w:color w:val="000000"/>
                      <w:szCs w:val="21"/>
                    </w:rPr>
                    <w:t>☑</w:t>
                  </w:r>
                  <w:r>
                    <w:rPr>
                      <w:rFonts w:hint="eastAsia"/>
                    </w:rPr>
                    <w:t>每年一次</w:t>
                  </w:r>
                </w:p>
                <w:p>
                  <w:r>
                    <w:rPr>
                      <w:rFonts w:hint="eastAsia"/>
                      <w:color w:val="000000"/>
                      <w:szCs w:val="21"/>
                    </w:rPr>
                    <w:t>☑特殊情况增加</w:t>
                  </w:r>
                </w:p>
              </w:tc>
              <w:tc>
                <w:tcPr>
                  <w:tcW w:w="2457" w:type="dxa"/>
                </w:tcPr>
                <w:p>
                  <w:pPr>
                    <w:rPr>
                      <w:rFonts w:hint="eastAsia" w:eastAsia="宋体"/>
                      <w:szCs w:val="22"/>
                      <w:lang w:val="en-US" w:eastAsia="zh-CN"/>
                    </w:rPr>
                  </w:pPr>
                  <w:r>
                    <w:rPr>
                      <w:rFonts w:hint="eastAsia"/>
                      <w:szCs w:val="22"/>
                    </w:rPr>
                    <w:t>ISO22000:2018</w:t>
                  </w:r>
                  <w:r>
                    <w:rPr>
                      <w:rFonts w:hint="eastAsia"/>
                      <w:szCs w:val="22"/>
                      <w:lang w:eastAsia="zh-CN"/>
                    </w:rPr>
                    <w:t>《</w:t>
                  </w:r>
                  <w:r>
                    <w:rPr>
                      <w:rFonts w:hint="eastAsia"/>
                      <w:szCs w:val="22"/>
                      <w:lang w:val="en-US" w:eastAsia="zh-CN"/>
                    </w:rPr>
                    <w:t>管理评审控制程序</w:t>
                  </w:r>
                  <w:r>
                    <w:rPr>
                      <w:rFonts w:hint="eastAsia"/>
                      <w:szCs w:val="22"/>
                      <w:lang w:eastAsia="zh-CN"/>
                    </w:rPr>
                    <w:t>》</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r>
                    <w:rPr>
                      <w:rFonts w:hint="eastAsia"/>
                    </w:rPr>
                    <w:t>相关方反馈</w:t>
                  </w:r>
                </w:p>
              </w:tc>
              <w:tc>
                <w:tcPr>
                  <w:tcW w:w="1483" w:type="dxa"/>
                </w:tcPr>
                <w:p>
                  <w:r>
                    <w:rPr>
                      <w:rFonts w:hint="eastAsia"/>
                    </w:rPr>
                    <w:t>反馈处理，对问题进行统计</w:t>
                  </w:r>
                </w:p>
              </w:tc>
              <w:tc>
                <w:tcPr>
                  <w:tcW w:w="2082" w:type="dxa"/>
                </w:tcPr>
                <w:p>
                  <w:r>
                    <w:rPr>
                      <w:rFonts w:hint="eastAsia"/>
                      <w:color w:val="000000"/>
                      <w:szCs w:val="21"/>
                    </w:rPr>
                    <w:t>□</w:t>
                  </w:r>
                  <w:r>
                    <w:rPr>
                      <w:rFonts w:hint="eastAsia"/>
                    </w:rPr>
                    <w:t>每年一次</w:t>
                  </w:r>
                </w:p>
                <w:p>
                  <w:r>
                    <w:rPr>
                      <w:rFonts w:hint="eastAsia"/>
                      <w:color w:val="000000"/>
                      <w:szCs w:val="21"/>
                    </w:rPr>
                    <w:t>☑随时</w:t>
                  </w:r>
                </w:p>
              </w:tc>
              <w:tc>
                <w:tcPr>
                  <w:tcW w:w="2457" w:type="dxa"/>
                </w:tcPr>
                <w:p>
                  <w:r>
                    <w:rPr>
                      <w:rFonts w:hint="eastAsia"/>
                    </w:rPr>
                    <w:t>顾客满意度调查表</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  ☑随时</w:t>
                  </w:r>
                </w:p>
              </w:tc>
            </w:tr>
          </w:tbl>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44" w:type="dxa"/>
            <w:vMerge w:val="restart"/>
            <w:shd w:val="clear" w:color="auto" w:fill="auto"/>
          </w:tcPr>
          <w:p>
            <w:r>
              <w:rPr>
                <w:rFonts w:hint="eastAsia"/>
              </w:rPr>
              <w:t>管理评审</w:t>
            </w:r>
          </w:p>
          <w:p/>
        </w:tc>
        <w:tc>
          <w:tcPr>
            <w:tcW w:w="952" w:type="dxa"/>
            <w:vMerge w:val="restart"/>
            <w:shd w:val="clear" w:color="auto" w:fill="auto"/>
          </w:tcPr>
          <w:p>
            <w:r>
              <w:rPr>
                <w:rFonts w:hint="eastAsia"/>
              </w:rPr>
              <w:t>F9.3</w:t>
            </w:r>
          </w:p>
          <w:p/>
        </w:tc>
        <w:tc>
          <w:tcPr>
            <w:tcW w:w="761" w:type="dxa"/>
            <w:shd w:val="clear" w:color="auto" w:fill="auto"/>
          </w:tcPr>
          <w:p>
            <w:r>
              <w:rPr>
                <w:rFonts w:hint="eastAsia"/>
              </w:rPr>
              <w:t>文件名称</w:t>
            </w:r>
          </w:p>
        </w:tc>
        <w:tc>
          <w:tcPr>
            <w:tcW w:w="9367" w:type="dxa"/>
            <w:shd w:val="clear" w:color="auto" w:fill="auto"/>
          </w:tcPr>
          <w:p>
            <w:r>
              <w:rPr>
                <w:rFonts w:hint="eastAsia"/>
              </w:rPr>
              <w:t>如：</w:t>
            </w:r>
            <w:r>
              <w:rPr>
                <w:rFonts w:hint="eastAsia" w:ascii="Calibri" w:hAnsi="Calibri"/>
              </w:rPr>
              <w:t>☑</w:t>
            </w:r>
            <w:r>
              <w:rPr>
                <w:rFonts w:hint="eastAsia"/>
              </w:rPr>
              <w:t>《管理评审</w:t>
            </w:r>
            <w:bookmarkStart w:id="7" w:name="_GoBack"/>
            <w:bookmarkEnd w:id="7"/>
            <w:r>
              <w:rPr>
                <w:rFonts w:hint="eastAsia"/>
              </w:rPr>
              <w:t>程序》</w:t>
            </w:r>
          </w:p>
        </w:tc>
        <w:tc>
          <w:tcPr>
            <w:tcW w:w="1590" w:type="dxa"/>
            <w:gridSpan w:val="2"/>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044" w:type="dxa"/>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pPr>
              <w:widowControl/>
              <w:spacing w:before="40"/>
              <w:jc w:val="left"/>
              <w:rPr>
                <w:color w:val="000000"/>
                <w:szCs w:val="18"/>
              </w:rPr>
            </w:pPr>
            <w:r>
              <w:rPr>
                <w:rFonts w:hint="eastAsia"/>
                <w:color w:val="000000"/>
                <w:szCs w:val="18"/>
              </w:rPr>
              <w:t>自</w:t>
            </w:r>
            <w:r>
              <w:rPr/>
              <w:sym w:font="Wingdings" w:char="00FE"/>
            </w:r>
            <w:r>
              <w:rPr>
                <w:rFonts w:hint="eastAsia"/>
                <w:color w:val="000000"/>
                <w:szCs w:val="18"/>
              </w:rPr>
              <w:t>管理体系建立后/</w:t>
            </w:r>
            <w:r>
              <w:rPr/>
              <w:sym w:font="Wingdings" w:char="00A8"/>
            </w:r>
            <w:r>
              <w:rPr>
                <w:rFonts w:hint="eastAsia"/>
              </w:rPr>
              <w:t>近一年</w:t>
            </w:r>
            <w:r>
              <w:rPr>
                <w:rFonts w:hint="eastAsia"/>
                <w:color w:val="000000"/>
                <w:szCs w:val="18"/>
              </w:rPr>
              <w:t>，于</w:t>
            </w:r>
            <w:r>
              <w:rPr>
                <w:rFonts w:hint="eastAsia"/>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rFonts w:hint="eastAsia"/>
                <w:color w:val="000000"/>
                <w:szCs w:val="18"/>
                <w:u w:val="single"/>
              </w:rPr>
              <w:t xml:space="preserve"> 01</w:t>
            </w:r>
            <w:r>
              <w:rPr>
                <w:color w:val="000000"/>
                <w:szCs w:val="18"/>
                <w:u w:val="single"/>
              </w:rPr>
              <w:t xml:space="preserve"> </w:t>
            </w:r>
            <w:r>
              <w:rPr>
                <w:rFonts w:hint="eastAsia"/>
                <w:color w:val="000000"/>
                <w:szCs w:val="18"/>
              </w:rPr>
              <w:t xml:space="preserve">月 </w:t>
            </w:r>
            <w:r>
              <w:rPr>
                <w:rFonts w:hint="eastAsia"/>
                <w:color w:val="000000"/>
                <w:szCs w:val="18"/>
                <w:u w:val="single"/>
              </w:rPr>
              <w:t>0</w:t>
            </w:r>
            <w:r>
              <w:rPr>
                <w:rFonts w:hint="eastAsia"/>
                <w:color w:val="000000"/>
                <w:szCs w:val="18"/>
                <w:u w:val="single"/>
                <w:lang w:val="en-US" w:eastAsia="zh-CN"/>
              </w:rPr>
              <w:t>4</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rPr>
            </w:pPr>
          </w:p>
          <w:p>
            <w:pPr>
              <w:widowControl/>
              <w:spacing w:before="40"/>
              <w:jc w:val="left"/>
              <w:rPr>
                <w:color w:val="000000"/>
                <w:szCs w:val="18"/>
              </w:rPr>
            </w:pPr>
            <w:r>
              <w:rPr>
                <w:rFonts w:hint="eastAsia"/>
                <w:color w:val="000000"/>
                <w:szCs w:val="18"/>
              </w:rPr>
              <w:t>查看</w:t>
            </w:r>
            <w:r>
              <w:rPr>
                <w:rFonts w:hint="eastAsia"/>
                <w:color w:val="000000"/>
                <w:szCs w:val="21"/>
              </w:rPr>
              <w:t xml:space="preserve">☑管理评审计划  ☑管理评审记录（工作总结）  </w:t>
            </w:r>
            <w:r>
              <w:rPr>
                <w:rFonts w:hint="eastAsia"/>
                <w:color w:val="000000"/>
                <w:szCs w:val="21"/>
              </w:rPr>
              <w:sym w:font="Wingdings 2" w:char="0052"/>
            </w:r>
            <w:r>
              <w:rPr>
                <w:rFonts w:hint="eastAsia"/>
                <w:color w:val="000000"/>
                <w:szCs w:val="21"/>
              </w:rPr>
              <w:t>管理评审纪要  ☑管理评审报告</w:t>
            </w:r>
          </w:p>
          <w:p>
            <w:pPr>
              <w:widowControl/>
              <w:spacing w:before="40"/>
              <w:jc w:val="left"/>
              <w:rPr>
                <w:color w:val="000000"/>
                <w:szCs w:val="21"/>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8"/>
              <w:gridCol w:w="1869"/>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管理评审输入信息</w:t>
                  </w:r>
                </w:p>
              </w:tc>
              <w:tc>
                <w:tcPr>
                  <w:tcW w:w="1869" w:type="dxa"/>
                </w:tcPr>
                <w:p>
                  <w:pPr>
                    <w:widowControl/>
                    <w:spacing w:before="40"/>
                    <w:jc w:val="left"/>
                    <w:rPr>
                      <w:color w:val="000000"/>
                      <w:szCs w:val="21"/>
                    </w:rPr>
                  </w:pPr>
                  <w:r>
                    <w:rPr>
                      <w:rFonts w:hint="eastAsia"/>
                      <w:color w:val="000000"/>
                      <w:szCs w:val="21"/>
                    </w:rPr>
                    <w:t>评价</w:t>
                  </w:r>
                </w:p>
              </w:tc>
              <w:tc>
                <w:tcPr>
                  <w:tcW w:w="2816" w:type="dxa"/>
                </w:tcPr>
                <w:p>
                  <w:pPr>
                    <w:widowControl/>
                    <w:spacing w:before="40"/>
                    <w:jc w:val="left"/>
                    <w:rPr>
                      <w:color w:val="000000"/>
                      <w:szCs w:val="21"/>
                    </w:rPr>
                  </w:pPr>
                  <w:r>
                    <w:rPr>
                      <w:rFonts w:hint="eastAsia"/>
                      <w:color w:val="000000"/>
                      <w:szCs w:val="21"/>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sym w:font="Wingdings" w:char="00FE"/>
                  </w:r>
                  <w:r>
                    <w:rPr>
                      <w:rFonts w:hint="eastAsia"/>
                    </w:rPr>
                    <w:t>以往管理评审所采取措施的情况；</w:t>
                  </w:r>
                </w:p>
              </w:tc>
              <w:tc>
                <w:tcPr>
                  <w:tcW w:w="1869" w:type="dxa"/>
                </w:tcPr>
                <w:p>
                  <w:pPr>
                    <w:widowControl/>
                    <w:spacing w:before="40"/>
                    <w:jc w:val="left"/>
                    <w:rPr>
                      <w:color w:val="000000"/>
                      <w:szCs w:val="21"/>
                    </w:rPr>
                  </w:pPr>
                  <w:r>
                    <w:rPr>
                      <w:rFonts w:hint="eastAsia"/>
                      <w:color w:val="000000"/>
                      <w:szCs w:val="21"/>
                    </w:rPr>
                    <w:sym w:font="Wingdings 2" w:char="0052"/>
                  </w:r>
                  <w:r>
                    <w:rPr>
                      <w:rFonts w:hint="eastAsia"/>
                      <w:color w:val="000000"/>
                      <w:szCs w:val="21"/>
                    </w:rPr>
                    <w:t>符合 □不符合</w:t>
                  </w:r>
                </w:p>
              </w:tc>
              <w:tc>
                <w:tcPr>
                  <w:tcW w:w="2816" w:type="dxa"/>
                </w:tcPr>
                <w:p>
                  <w:pPr>
                    <w:widowControl/>
                    <w:spacing w:before="40"/>
                    <w:jc w:val="left"/>
                    <w:rPr>
                      <w:rFonts w:hint="eastAsia" w:eastAsia="宋体"/>
                      <w:color w:val="000000"/>
                      <w:szCs w:val="21"/>
                      <w:lang w:val="en-US" w:eastAsia="zh-CN"/>
                    </w:rPr>
                  </w:pPr>
                  <w:r>
                    <w:rPr>
                      <w:rFonts w:hint="eastAsia"/>
                      <w:color w:val="000000"/>
                      <w:szCs w:val="21"/>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sym w:font="Wingdings" w:char="00FE"/>
                  </w:r>
                  <w:r>
                    <w:rPr>
                      <w:color w:val="000000"/>
                      <w:szCs w:val="21"/>
                    </w:rPr>
                    <w:t>组织所处形势的变化</w:t>
                  </w:r>
                  <w:r>
                    <w:rPr>
                      <w:rFonts w:hint="eastAsia"/>
                    </w:rPr>
                    <w:t>；</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rFonts w:hint="default" w:eastAsia="宋体"/>
                      <w:color w:val="000000"/>
                      <w:szCs w:val="21"/>
                      <w:lang w:val="en-US" w:eastAsia="zh-CN"/>
                    </w:rPr>
                  </w:pPr>
                  <w:r>
                    <w:rPr>
                      <w:rFonts w:hint="eastAsia"/>
                      <w:color w:val="000000"/>
                      <w:szCs w:val="21"/>
                      <w:lang w:val="en-US" w:eastAsia="zh-CN"/>
                    </w:rPr>
                    <w:t>受疫情影响较大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color w:val="000000"/>
                      <w:szCs w:val="21"/>
                    </w:rPr>
                    <w:sym w:font="Wingdings" w:char="00FE"/>
                  </w:r>
                  <w:r>
                    <w:rPr>
                      <w:color w:val="000000"/>
                      <w:szCs w:val="21"/>
                    </w:rPr>
                    <w:t>发生的紧急情况、 事故或撤回；</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与食品安全管理体系有关的内部和外部因素变化， 包括顾客和顾客投诉；</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rFonts w:hint="default" w:eastAsia="宋体"/>
                      <w:color w:val="000000"/>
                      <w:szCs w:val="21"/>
                      <w:lang w:val="en-US" w:eastAsia="zh-CN"/>
                    </w:rPr>
                  </w:pPr>
                  <w:r>
                    <w:rPr>
                      <w:rFonts w:hint="eastAsia"/>
                      <w:color w:val="000000"/>
                      <w:szCs w:val="21"/>
                      <w:lang w:val="en-US" w:eastAsia="zh-CN"/>
                    </w:rPr>
                    <w:t>未发生重大投诉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食品安全绩效和食品安全管理体系不符合和纠正措施</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rFonts w:hint="eastAsia"/>
                    </w:rPr>
                    <w:t>监视和测量结果及趋势</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审核结果（内部和外部） 包括执法检查结果</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color w:val="000000"/>
                      <w:szCs w:val="21"/>
                    </w:rPr>
                    <w:sym w:font="Wingdings" w:char="00FE"/>
                  </w:r>
                  <w:r>
                    <w:rPr>
                      <w:color w:val="000000"/>
                      <w:szCs w:val="21"/>
                    </w:rPr>
                    <w:t>与PRP、 OPRP计划和HACCP计划有关的验证活动结果的分析</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color w:val="000000"/>
                      <w:szCs w:val="21"/>
                    </w:rPr>
                    <w:t>实现食品安全管理体系目标的程度</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外部供方绩效</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color w:val="000000"/>
                      <w:szCs w:val="21"/>
                    </w:rPr>
                    <w:sym w:font="Wingdings" w:char="00FE"/>
                  </w:r>
                  <w:r>
                    <w:rPr>
                      <w:color w:val="000000"/>
                      <w:szCs w:val="21"/>
                    </w:rPr>
                    <w:t>体系更新活动的评审结果</w:t>
                  </w:r>
                  <w:r>
                    <w:rPr>
                      <w:rFonts w:hint="eastAsia"/>
                      <w:color w:val="000000"/>
                      <w:szCs w:val="21"/>
                    </w:rPr>
                    <w:t>的评审</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顾客反馈的沟通活动</w:t>
                  </w:r>
                  <w:r>
                    <w:rPr>
                      <w:rFonts w:hint="eastAsia"/>
                      <w:color w:val="000000"/>
                      <w:szCs w:val="21"/>
                    </w:rPr>
                    <w:t>的评审</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color w:val="000000"/>
                      <w:szCs w:val="21"/>
                    </w:rPr>
                    <w:t>紧急情况、 事故或撤回</w:t>
                  </w:r>
                  <w:r>
                    <w:rPr>
                      <w:rFonts w:hint="eastAsia"/>
                      <w:color w:val="000000"/>
                      <w:szCs w:val="21"/>
                    </w:rPr>
                    <w:t>的评审</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rFonts w:hint="default" w:eastAsia="宋体"/>
                      <w:color w:val="000000"/>
                      <w:szCs w:val="21"/>
                      <w:lang w:val="en-US" w:eastAsia="zh-CN"/>
                    </w:rPr>
                  </w:pPr>
                  <w:r>
                    <w:rPr>
                      <w:rFonts w:hint="eastAsia"/>
                      <w:color w:val="000000"/>
                      <w:szCs w:val="21"/>
                      <w:lang w:val="en-US" w:eastAsia="zh-CN"/>
                    </w:rPr>
                    <w:t>未发生撤回召回，已进行演练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color w:val="000000"/>
                      <w:szCs w:val="21"/>
                    </w:rPr>
                    <w:t>持续改进的机会</w:t>
                  </w:r>
                  <w:r>
                    <w:rPr>
                      <w:rFonts w:hint="eastAsia"/>
                      <w:color w:val="000000"/>
                      <w:szCs w:val="21"/>
                    </w:rPr>
                    <w:t>的评审</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rFonts w:hint="eastAsia"/>
                    </w:rPr>
                    <w:t>资源的充分性</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color w:val="000000"/>
                      <w:szCs w:val="21"/>
                    </w:rPr>
                    <w:t>为应对风险和机遇所采取措施的有效性</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bl>
          <w:p>
            <w:pPr>
              <w:widowControl/>
              <w:spacing w:before="40"/>
              <w:jc w:val="left"/>
              <w:rPr>
                <w:color w:val="000000"/>
                <w:szCs w:val="21"/>
              </w:rPr>
            </w:pPr>
          </w:p>
          <w:p>
            <w:pPr>
              <w:widowControl/>
              <w:spacing w:before="40"/>
              <w:jc w:val="left"/>
              <w:rPr>
                <w:color w:val="000000"/>
                <w:szCs w:val="21"/>
                <w:u w:val="single"/>
              </w:rPr>
            </w:pPr>
            <w:r>
              <w:rPr>
                <w:rFonts w:hint="eastAsia"/>
                <w:color w:val="000000"/>
                <w:szCs w:val="21"/>
              </w:rPr>
              <w:t>对食品安全管理体系的持续适宜性，充分性，有效性的结论。☑</w:t>
            </w:r>
            <w:r>
              <w:rPr>
                <w:rFonts w:hint="eastAsia"/>
              </w:rPr>
              <w:t>满足</w:t>
            </w:r>
            <w:r>
              <w:rPr>
                <w:rFonts w:hint="eastAsia"/>
                <w:color w:val="000000"/>
                <w:szCs w:val="21"/>
              </w:rPr>
              <w:t xml:space="preserve"> □</w:t>
            </w:r>
            <w:r>
              <w:rPr>
                <w:rFonts w:hint="eastAsia"/>
              </w:rPr>
              <w:t>不满足，说明</w:t>
            </w:r>
            <w:r>
              <w:rPr>
                <w:rFonts w:hint="eastAsia"/>
                <w:u w:val="single"/>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3700"/>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18"/>
                    </w:rPr>
                    <w:t>管理评审输出信息（决策）</w:t>
                  </w:r>
                </w:p>
              </w:tc>
              <w:tc>
                <w:tcPr>
                  <w:tcW w:w="3700" w:type="dxa"/>
                </w:tcPr>
                <w:p>
                  <w:pPr>
                    <w:widowControl/>
                    <w:spacing w:before="40"/>
                    <w:jc w:val="left"/>
                    <w:rPr>
                      <w:color w:val="000000"/>
                      <w:szCs w:val="21"/>
                    </w:rPr>
                  </w:pPr>
                  <w:r>
                    <w:rPr>
                      <w:rFonts w:hint="eastAsia"/>
                      <w:color w:val="000000"/>
                      <w:szCs w:val="21"/>
                    </w:rPr>
                    <w:t>措施描述（举例）</w:t>
                  </w:r>
                </w:p>
              </w:tc>
              <w:tc>
                <w:tcPr>
                  <w:tcW w:w="2491" w:type="dxa"/>
                </w:tcPr>
                <w:p>
                  <w:pPr>
                    <w:widowControl/>
                    <w:spacing w:before="40"/>
                    <w:jc w:val="left"/>
                    <w:rPr>
                      <w:color w:val="000000"/>
                      <w:szCs w:val="21"/>
                    </w:rPr>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与持续改进机会相关的决策</w:t>
                  </w:r>
                </w:p>
              </w:tc>
              <w:tc>
                <w:tcPr>
                  <w:tcW w:w="3700" w:type="dxa"/>
                </w:tcPr>
                <w:p>
                  <w:pPr>
                    <w:widowControl/>
                    <w:numPr>
                      <w:ilvl w:val="0"/>
                      <w:numId w:val="4"/>
                    </w:numPr>
                    <w:spacing w:before="40"/>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进行车间硬件设施不全不足的采购申请（如塑料栈板、不锈钢桌子等）</w:t>
                  </w:r>
                  <w:r>
                    <w:rPr>
                      <w:rFonts w:hint="eastAsia" w:ascii="宋体" w:hAnsi="宋体" w:cs="宋体"/>
                      <w:color w:val="000000" w:themeColor="text1"/>
                      <w:sz w:val="21"/>
                      <w:szCs w:val="21"/>
                      <w:lang w:val="en-US" w:eastAsia="zh-CN"/>
                      <w14:textFill>
                        <w14:solidFill>
                          <w14:schemeClr w14:val="tx1"/>
                        </w14:solidFill>
                      </w14:textFill>
                    </w:rPr>
                    <w:t>，由人事服务部负责，计划实施时间：2022年度；</w:t>
                  </w:r>
                </w:p>
                <w:p>
                  <w:pPr>
                    <w:widowControl/>
                    <w:numPr>
                      <w:ilvl w:val="0"/>
                      <w:numId w:val="4"/>
                    </w:numPr>
                    <w:spacing w:before="40"/>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跟踪企业现状再诊断出适用于企业的数据支持，确保有效循环进行数据攀升，进行数据作用得培训</w:t>
                  </w:r>
                  <w:r>
                    <w:rPr>
                      <w:rFonts w:hint="eastAsia" w:ascii="宋体" w:hAnsi="宋体" w:cs="宋体"/>
                      <w:b w:val="0"/>
                      <w:bCs w:val="0"/>
                      <w:color w:val="000000" w:themeColor="text1"/>
                      <w:sz w:val="21"/>
                      <w:szCs w:val="21"/>
                      <w:lang w:val="en-US" w:eastAsia="zh-CN"/>
                      <w14:textFill>
                        <w14:solidFill>
                          <w14:schemeClr w14:val="tx1"/>
                        </w14:solidFill>
                      </w14:textFill>
                    </w:rPr>
                    <w:t>，由食品安全小组组长负责，计划实施时间：2022年度</w:t>
                  </w:r>
                </w:p>
              </w:tc>
              <w:tc>
                <w:tcPr>
                  <w:tcW w:w="2491"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sym w:font="Wingdings 2" w:char="0052"/>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食品安全管理体系所需的变更</w:t>
                  </w:r>
                </w:p>
              </w:tc>
              <w:tc>
                <w:tcPr>
                  <w:tcW w:w="3700" w:type="dxa"/>
                </w:tcPr>
                <w:p>
                  <w:pPr>
                    <w:widowControl/>
                    <w:spacing w:before="40"/>
                    <w:jc w:val="left"/>
                    <w:rPr>
                      <w:color w:val="000000"/>
                      <w:szCs w:val="21"/>
                    </w:rPr>
                  </w:pPr>
                  <w:r>
                    <w:rPr>
                      <w:rFonts w:hint="eastAsia"/>
                      <w:color w:val="000000"/>
                      <w:szCs w:val="21"/>
                    </w:rPr>
                    <w:t>无</w:t>
                  </w:r>
                </w:p>
              </w:tc>
              <w:tc>
                <w:tcPr>
                  <w:tcW w:w="2491"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资源需求</w:t>
                  </w:r>
                </w:p>
              </w:tc>
              <w:tc>
                <w:tcPr>
                  <w:tcW w:w="3700" w:type="dxa"/>
                </w:tcPr>
                <w:p>
                  <w:pPr>
                    <w:widowControl/>
                    <w:jc w:val="left"/>
                    <w:rPr>
                      <w:color w:val="000000"/>
                      <w:szCs w:val="21"/>
                    </w:rPr>
                  </w:pPr>
                  <w:r>
                    <w:rPr>
                      <w:rFonts w:hint="eastAsia" w:ascii="宋体" w:hAnsi="宋体" w:cs="宋体"/>
                      <w:color w:val="000000"/>
                      <w:kern w:val="0"/>
                      <w:sz w:val="20"/>
                      <w:lang w:bidi="ar"/>
                    </w:rPr>
                    <w:t>无</w:t>
                  </w:r>
                </w:p>
              </w:tc>
              <w:tc>
                <w:tcPr>
                  <w:tcW w:w="2491" w:type="dxa"/>
                </w:tcPr>
                <w:p>
                  <w:pPr>
                    <w:widowControl/>
                    <w:spacing w:before="40"/>
                    <w:jc w:val="left"/>
                    <w:rPr>
                      <w:color w:val="000000"/>
                      <w:szCs w:val="21"/>
                    </w:rPr>
                  </w:pPr>
                  <w:r>
                    <w:rPr>
                      <w:rFonts w:hint="eastAsia"/>
                      <w:color w:val="000000"/>
                      <w:szCs w:val="21"/>
                    </w:rPr>
                    <w:sym w:font="Wingdings 2" w:char="00A3"/>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食品安全目标未实现所采取的措施。（需要时）</w:t>
                  </w:r>
                </w:p>
              </w:tc>
              <w:tc>
                <w:tcPr>
                  <w:tcW w:w="3700" w:type="dxa"/>
                </w:tcPr>
                <w:p>
                  <w:pPr>
                    <w:widowControl/>
                    <w:spacing w:before="40"/>
                    <w:jc w:val="left"/>
                    <w:rPr>
                      <w:color w:val="000000"/>
                      <w:szCs w:val="21"/>
                    </w:rPr>
                  </w:pPr>
                  <w:r>
                    <w:rPr>
                      <w:rFonts w:hint="eastAsia"/>
                      <w:color w:val="000000"/>
                      <w:szCs w:val="21"/>
                    </w:rPr>
                    <w:t>——</w:t>
                  </w:r>
                </w:p>
              </w:tc>
              <w:tc>
                <w:tcPr>
                  <w:tcW w:w="2491"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改进食品安全管理体系与其他业务过程融合的机会。（需要时）</w:t>
                  </w:r>
                </w:p>
              </w:tc>
              <w:tc>
                <w:tcPr>
                  <w:tcW w:w="3700" w:type="dxa"/>
                </w:tcPr>
                <w:p>
                  <w:pPr>
                    <w:widowControl/>
                    <w:spacing w:before="40"/>
                    <w:jc w:val="left"/>
                    <w:rPr>
                      <w:color w:val="000000"/>
                      <w:szCs w:val="21"/>
                    </w:rPr>
                  </w:pPr>
                  <w:r>
                    <w:rPr>
                      <w:rFonts w:hint="eastAsia"/>
                      <w:color w:val="000000"/>
                      <w:szCs w:val="21"/>
                    </w:rPr>
                    <w:t>——</w:t>
                  </w:r>
                </w:p>
              </w:tc>
              <w:tc>
                <w:tcPr>
                  <w:tcW w:w="2491"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任何与组织战略方向相关的结论</w:t>
                  </w:r>
                </w:p>
              </w:tc>
              <w:tc>
                <w:tcPr>
                  <w:tcW w:w="3700" w:type="dxa"/>
                </w:tcPr>
                <w:p>
                  <w:pPr>
                    <w:widowControl/>
                    <w:spacing w:before="40"/>
                    <w:jc w:val="left"/>
                    <w:rPr>
                      <w:color w:val="000000"/>
                      <w:szCs w:val="21"/>
                    </w:rPr>
                  </w:pPr>
                  <w:r>
                    <w:rPr>
                      <w:rFonts w:hint="eastAsia"/>
                      <w:color w:val="000000"/>
                      <w:szCs w:val="21"/>
                    </w:rPr>
                    <w:t>——</w:t>
                  </w:r>
                </w:p>
              </w:tc>
              <w:tc>
                <w:tcPr>
                  <w:tcW w:w="2491"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bl>
          <w:p/>
          <w:p>
            <w:pPr>
              <w:rPr>
                <w:u w:val="single"/>
              </w:rPr>
            </w:pPr>
            <w:r>
              <w:rPr>
                <w:rFonts w:hint="eastAsia"/>
              </w:rPr>
              <w:sym w:font="Wingdings" w:char="00FE"/>
            </w:r>
            <w:r>
              <w:rPr>
                <w:rFonts w:hint="eastAsia"/>
              </w:rPr>
              <w:t>改进措施未落实的原因：</w:t>
            </w:r>
            <w:r>
              <w:rPr>
                <w:rFonts w:hint="eastAsia"/>
                <w:u w:val="single"/>
              </w:rPr>
              <w:t xml:space="preserve">   计划202</w:t>
            </w:r>
            <w:r>
              <w:rPr>
                <w:rFonts w:hint="eastAsia"/>
                <w:u w:val="single"/>
                <w:lang w:val="en-US" w:eastAsia="zh-CN"/>
              </w:rPr>
              <w:t>2</w:t>
            </w:r>
            <w:r>
              <w:rPr>
                <w:rFonts w:hint="eastAsia"/>
                <w:u w:val="single"/>
              </w:rPr>
              <w:t xml:space="preserve">年全年完成          </w:t>
            </w:r>
          </w:p>
          <w:p/>
        </w:tc>
        <w:tc>
          <w:tcPr>
            <w:tcW w:w="1590" w:type="dxa"/>
            <w:gridSpan w:val="2"/>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44" w:type="dxa"/>
            <w:vMerge w:val="restart"/>
            <w:shd w:val="clear" w:color="auto" w:fill="auto"/>
          </w:tcPr>
          <w:p>
            <w:r>
              <w:rPr>
                <w:rFonts w:hint="eastAsia"/>
              </w:rPr>
              <w:t>持续改进</w:t>
            </w:r>
          </w:p>
        </w:tc>
        <w:tc>
          <w:tcPr>
            <w:tcW w:w="952" w:type="dxa"/>
            <w:vMerge w:val="restart"/>
            <w:shd w:val="clear" w:color="auto" w:fill="auto"/>
          </w:tcPr>
          <w:p>
            <w:r>
              <w:rPr>
                <w:rFonts w:hint="eastAsia"/>
              </w:rPr>
              <w:t>F10.2</w:t>
            </w:r>
          </w:p>
        </w:tc>
        <w:tc>
          <w:tcPr>
            <w:tcW w:w="761" w:type="dxa"/>
            <w:shd w:val="clear" w:color="auto" w:fill="auto"/>
          </w:tcPr>
          <w:p>
            <w:r>
              <w:rPr>
                <w:rFonts w:hint="eastAsia"/>
              </w:rPr>
              <w:t>文件名称</w:t>
            </w:r>
          </w:p>
        </w:tc>
        <w:tc>
          <w:tcPr>
            <w:tcW w:w="9367" w:type="dxa"/>
            <w:shd w:val="clear" w:color="auto" w:fill="auto"/>
          </w:tcPr>
          <w:p>
            <w:r>
              <w:rPr>
                <w:rFonts w:hint="eastAsia"/>
              </w:rPr>
              <w:t>如：</w:t>
            </w:r>
            <w:r>
              <w:rPr>
                <w:rFonts w:hint="eastAsia"/>
              </w:rPr>
              <w:sym w:font="Wingdings" w:char="00FE"/>
            </w:r>
            <w:r>
              <w:rPr>
                <w:rFonts w:hint="eastAsia"/>
              </w:rPr>
              <w:t>管理手册10.3条款</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044" w:type="dxa"/>
            <w:vMerge w:val="continue"/>
            <w:shd w:val="clear" w:color="auto" w:fill="auto"/>
          </w:tcPr>
          <w:p/>
        </w:tc>
        <w:tc>
          <w:tcPr>
            <w:tcW w:w="952" w:type="dxa"/>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r>
              <w:rPr>
                <w:rFonts w:hint="eastAsia"/>
              </w:rPr>
              <w:t xml:space="preserve">组织已持续改进食品安全管理体系的适宜性、充分性和有效性，以提升食品安全绩效。 </w:t>
            </w:r>
          </w:p>
          <w:p>
            <w:r>
              <w:rPr>
                <w:rFonts w:hint="eastAsia"/>
              </w:rPr>
              <w:t>组织考虑了分析和评价的结果以及管理评审的输出，确定是否存在需求或机遇，这些需求或机遇应作为持续改进的一部分加以应对。</w:t>
            </w:r>
          </w:p>
          <w:p/>
          <w:p>
            <w:r>
              <w:rPr>
                <w:rFonts w:hint="eastAsia"/>
              </w:rPr>
              <w:sym w:font="Wingdings" w:char="00A8"/>
            </w:r>
            <w:r>
              <w:rPr>
                <w:rFonts w:hint="eastAsia"/>
              </w:rPr>
              <w:t xml:space="preserve"> 改进措施已落实</w:t>
            </w:r>
          </w:p>
          <w:p>
            <w:pPr>
              <w:rPr>
                <w:u w:val="single"/>
              </w:rPr>
            </w:pPr>
            <w:r>
              <w:rPr>
                <w:rFonts w:hint="eastAsia"/>
              </w:rPr>
              <w:sym w:font="Wingdings" w:char="00FE"/>
            </w:r>
            <w:r>
              <w:rPr>
                <w:rFonts w:hint="eastAsia"/>
              </w:rPr>
              <w:t xml:space="preserve"> 改进措施未落实的原因：</w:t>
            </w:r>
            <w:r>
              <w:rPr>
                <w:rFonts w:hint="eastAsia"/>
                <w:u w:val="single"/>
              </w:rPr>
              <w:t xml:space="preserve">  计划202</w:t>
            </w:r>
            <w:r>
              <w:rPr>
                <w:rFonts w:hint="eastAsia"/>
                <w:u w:val="single"/>
                <w:lang w:val="en-US" w:eastAsia="zh-CN"/>
              </w:rPr>
              <w:t>2</w:t>
            </w:r>
            <w:r>
              <w:rPr>
                <w:rFonts w:hint="eastAsia"/>
                <w:u w:val="single"/>
              </w:rPr>
              <w:t xml:space="preserve">年全年完成        </w:t>
            </w:r>
          </w:p>
          <w:p/>
          <w:p>
            <w:r>
              <w:rPr>
                <w:rFonts w:hint="eastAsia"/>
              </w:rPr>
              <w:t>最高管理者应确保组织通过以下活动， 持续改进食品安全管理体系的有效性：</w:t>
            </w:r>
          </w:p>
          <w:p>
            <w:r>
              <w:rPr>
                <w:rFonts w:hint="eastAsia"/>
              </w:rPr>
              <w:sym w:font="Wingdings" w:char="00FE"/>
            </w:r>
            <w:r>
              <w:rPr>
                <w:rFonts w:hint="eastAsia"/>
              </w:rPr>
              <w:t xml:space="preserve">沟通  </w:t>
            </w:r>
            <w:r>
              <w:rPr>
                <w:rFonts w:hint="eastAsia"/>
              </w:rPr>
              <w:sym w:font="Wingdings" w:char="00FE"/>
            </w:r>
            <w:r>
              <w:rPr>
                <w:rFonts w:hint="eastAsia"/>
              </w:rPr>
              <w:t xml:space="preserve">管理评审  </w:t>
            </w:r>
            <w:r>
              <w:rPr>
                <w:rFonts w:hint="eastAsia"/>
              </w:rPr>
              <w:sym w:font="Wingdings" w:char="00FE"/>
            </w:r>
            <w:r>
              <w:rPr>
                <w:rFonts w:hint="eastAsia"/>
              </w:rPr>
              <w:t xml:space="preserve">内部审核  </w:t>
            </w:r>
            <w:r>
              <w:rPr>
                <w:rFonts w:hint="eastAsia"/>
              </w:rPr>
              <w:sym w:font="Wingdings" w:char="00FE"/>
            </w:r>
            <w:r>
              <w:rPr>
                <w:rFonts w:hint="eastAsia"/>
              </w:rPr>
              <w:t xml:space="preserve">验证活动结果分析 </w:t>
            </w:r>
            <w:r>
              <w:rPr>
                <w:rFonts w:hint="eastAsia"/>
              </w:rPr>
              <w:sym w:font="Wingdings" w:char="00FE"/>
            </w:r>
            <w:r>
              <w:rPr>
                <w:rFonts w:hint="eastAsia"/>
              </w:rPr>
              <w:t>控制措施验证和控制措施组合</w:t>
            </w:r>
          </w:p>
          <w:p>
            <w:r>
              <w:rPr>
                <w:rFonts w:hint="eastAsia"/>
              </w:rPr>
              <w:sym w:font="Wingdings" w:char="00FE"/>
            </w:r>
            <w:r>
              <w:rPr>
                <w:rFonts w:hint="eastAsia"/>
              </w:rPr>
              <w:t xml:space="preserve">纠正措施  </w:t>
            </w:r>
            <w:r>
              <w:rPr>
                <w:rFonts w:hint="eastAsia"/>
              </w:rPr>
              <w:sym w:font="Wingdings" w:char="00FE"/>
            </w:r>
            <w:r>
              <w:rPr>
                <w:rFonts w:hint="eastAsia"/>
              </w:rPr>
              <w:t xml:space="preserve">FSMS更新 </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trPr>
        <w:tc>
          <w:tcPr>
            <w:tcW w:w="2044" w:type="dxa"/>
            <w:shd w:val="clear" w:color="auto" w:fill="auto"/>
            <w:vAlign w:val="top"/>
          </w:tcPr>
          <w:p>
            <w:pPr>
              <w:adjustRightInd w:val="0"/>
              <w:snapToGrid w:val="0"/>
              <w:rPr>
                <w:rFonts w:ascii="宋体" w:hAnsi="宋体" w:eastAsia="宋体" w:cs="宋体"/>
                <w:kern w:val="2"/>
                <w:sz w:val="21"/>
                <w:szCs w:val="24"/>
                <w:lang w:val="en-US" w:eastAsia="zh-CN" w:bidi="ar-SA"/>
              </w:rPr>
            </w:pPr>
            <w:r>
              <w:rPr>
                <w:rFonts w:hint="eastAsia" w:ascii="宋体" w:hAnsi="宋体" w:cs="宋体"/>
                <w:szCs w:val="24"/>
              </w:rPr>
              <w:t>范围的确认，资质的确认，法律法规执行情况，重大质量事故，及顾客投诉和质量监督抽查情况。</w:t>
            </w:r>
          </w:p>
        </w:tc>
        <w:tc>
          <w:tcPr>
            <w:tcW w:w="952" w:type="dxa"/>
            <w:shd w:val="clear" w:color="auto" w:fill="auto"/>
            <w:vAlign w:val="top"/>
          </w:tcPr>
          <w:p>
            <w:pPr>
              <w:rPr>
                <w:rFonts w:ascii="Times New Roman" w:hAnsi="Times New Roman" w:eastAsia="宋体" w:cs="Times New Roman"/>
                <w:b/>
                <w:kern w:val="2"/>
                <w:sz w:val="21"/>
                <w:lang w:val="en-US" w:eastAsia="zh-CN" w:bidi="ar-SA"/>
              </w:rPr>
            </w:pPr>
          </w:p>
        </w:tc>
        <w:tc>
          <w:tcPr>
            <w:tcW w:w="761" w:type="dxa"/>
            <w:shd w:val="clear" w:color="auto" w:fill="auto"/>
            <w:vAlign w:val="top"/>
          </w:tcPr>
          <w:p>
            <w:pPr>
              <w:spacing w:line="360" w:lineRule="auto"/>
              <w:ind w:firstLine="315" w:firstLineChars="150"/>
              <w:jc w:val="left"/>
              <w:rPr>
                <w:rFonts w:hint="eastAsia" w:ascii="宋体" w:hAnsi="宋体" w:eastAsia="宋体" w:cs="宋体"/>
                <w:color w:val="000000"/>
                <w:kern w:val="2"/>
                <w:sz w:val="21"/>
                <w:szCs w:val="24"/>
                <w:lang w:val="en-US" w:eastAsia="zh-CN" w:bidi="ar-SA"/>
              </w:rPr>
            </w:pPr>
          </w:p>
        </w:tc>
        <w:tc>
          <w:tcPr>
            <w:tcW w:w="9372" w:type="dxa"/>
            <w:gridSpan w:val="2"/>
            <w:shd w:val="clear" w:color="auto" w:fill="auto"/>
            <w:vAlign w:val="top"/>
          </w:tcPr>
          <w:p>
            <w:pPr>
              <w:spacing w:line="360" w:lineRule="auto"/>
              <w:ind w:firstLine="315" w:firstLineChars="150"/>
              <w:jc w:val="left"/>
              <w:rPr>
                <w:rFonts w:ascii="宋体" w:hAnsi="宋体" w:cs="宋体"/>
                <w:szCs w:val="21"/>
              </w:rPr>
            </w:pPr>
            <w:r>
              <w:rPr>
                <w:rFonts w:hint="eastAsia" w:ascii="宋体" w:hAnsi="宋体" w:cs="宋体"/>
                <w:szCs w:val="21"/>
              </w:rPr>
              <w:t>现场确认：发生变更如下：</w:t>
            </w:r>
          </w:p>
          <w:p>
            <w:pPr>
              <w:pStyle w:val="2"/>
              <w:numPr>
                <w:ilvl w:val="0"/>
                <w:numId w:val="5"/>
              </w:numPr>
              <w:spacing w:line="360" w:lineRule="auto"/>
              <w:ind w:left="0" w:leftChars="0" w:firstLine="0" w:firstLineChars="0"/>
              <w:rPr>
                <w:rFonts w:hint="eastAsia" w:ascii="宋体" w:hAnsi="宋体" w:cs="宋体"/>
                <w:szCs w:val="21"/>
                <w:highlight w:val="none"/>
                <w:lang w:val="en-US" w:eastAsia="zh-CN"/>
              </w:rPr>
            </w:pPr>
            <w:r>
              <w:rPr>
                <w:rFonts w:hint="eastAsia"/>
                <w:b/>
                <w:szCs w:val="21"/>
                <w:highlight w:val="none"/>
              </w:rPr>
              <w:t>认证范围</w:t>
            </w:r>
            <w:r>
              <w:rPr>
                <w:rFonts w:hint="eastAsia"/>
                <w:b/>
                <w:szCs w:val="21"/>
                <w:highlight w:val="none"/>
                <w:lang w:eastAsia="zh-CN"/>
              </w:rPr>
              <w:t>：</w:t>
            </w:r>
            <w:r>
              <w:rPr>
                <w:rFonts w:hint="eastAsia"/>
                <w:b/>
                <w:szCs w:val="21"/>
                <w:highlight w:val="none"/>
                <w:lang w:val="en-US" w:eastAsia="zh-CN"/>
              </w:rPr>
              <w:t>无变化</w:t>
            </w:r>
            <w:r>
              <w:rPr>
                <w:rFonts w:hint="eastAsia"/>
                <w:b/>
                <w:bCs/>
                <w:highlight w:val="none"/>
              </w:rPr>
              <w:t>。</w:t>
            </w:r>
          </w:p>
          <w:p>
            <w:pPr>
              <w:pStyle w:val="2"/>
              <w:numPr>
                <w:ilvl w:val="0"/>
                <w:numId w:val="5"/>
              </w:numPr>
              <w:spacing w:line="360" w:lineRule="auto"/>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rPr>
              <w:t>现场确认</w:t>
            </w:r>
            <w:r>
              <w:rPr>
                <w:rFonts w:hint="eastAsia" w:ascii="宋体" w:hAnsi="宋体" w:cs="宋体"/>
                <w:szCs w:val="21"/>
                <w:highlight w:val="none"/>
                <w:lang w:eastAsia="zh-CN"/>
              </w:rPr>
              <w:t>：</w:t>
            </w:r>
            <w:r>
              <w:rPr>
                <w:rFonts w:hint="eastAsia" w:ascii="宋体" w:hAnsi="宋体" w:cs="宋体"/>
                <w:szCs w:val="21"/>
                <w:highlight w:val="none"/>
                <w:lang w:val="en-US" w:eastAsia="zh-CN"/>
              </w:rPr>
              <w:t>营业执照、食品经营许可证未发生变化。</w:t>
            </w:r>
          </w:p>
          <w:p>
            <w:pPr>
              <w:pStyle w:val="2"/>
              <w:numPr>
                <w:ilvl w:val="0"/>
                <w:numId w:val="5"/>
              </w:numPr>
              <w:ind w:left="0" w:leftChars="0" w:firstLine="0" w:firstLineChars="0"/>
              <w:rPr>
                <w:rFonts w:hint="default"/>
                <w:lang w:val="en-US" w:eastAsia="zh-CN"/>
              </w:rPr>
            </w:pPr>
            <w:r>
              <w:rPr>
                <w:rFonts w:hint="eastAsia"/>
                <w:lang w:val="en-US" w:eastAsia="zh-CN"/>
              </w:rPr>
              <w:t>其他：</w:t>
            </w:r>
          </w:p>
          <w:p>
            <w:pPr>
              <w:spacing w:line="360" w:lineRule="auto"/>
              <w:ind w:firstLine="315" w:firstLineChars="150"/>
              <w:jc w:val="left"/>
              <w:rPr>
                <w:rFonts w:ascii="宋体" w:hAnsi="宋体" w:cs="宋体"/>
                <w:szCs w:val="21"/>
                <w:highlight w:val="none"/>
              </w:rPr>
            </w:pPr>
            <w:r>
              <w:rPr>
                <w:rFonts w:hint="eastAsia" w:ascii="宋体" w:hAnsi="宋体" w:cs="宋体"/>
                <w:szCs w:val="21"/>
                <w:highlight w:val="none"/>
              </w:rPr>
              <w:t>从202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月至今，公司没有顾客的重大</w:t>
            </w:r>
            <w:r>
              <w:rPr>
                <w:rFonts w:hint="eastAsia" w:ascii="宋体" w:hAnsi="宋体" w:cs="宋体"/>
                <w:szCs w:val="21"/>
                <w:highlight w:val="none"/>
                <w:lang w:val="en-US" w:eastAsia="zh-CN"/>
              </w:rPr>
              <w:t>食品</w:t>
            </w:r>
            <w:r>
              <w:rPr>
                <w:rFonts w:hint="eastAsia" w:ascii="宋体" w:hAnsi="宋体" w:cs="宋体"/>
                <w:szCs w:val="21"/>
                <w:highlight w:val="none"/>
              </w:rPr>
              <w:t>安全投诉</w:t>
            </w:r>
            <w:r>
              <w:rPr>
                <w:rFonts w:hint="eastAsia" w:ascii="宋体" w:hAnsi="宋体" w:cs="宋体"/>
                <w:szCs w:val="21"/>
                <w:highlight w:val="none"/>
                <w:lang w:val="en-US" w:eastAsia="zh-CN"/>
              </w:rPr>
              <w:t>/事故</w:t>
            </w:r>
            <w:r>
              <w:rPr>
                <w:rFonts w:hint="eastAsia" w:ascii="宋体" w:hAnsi="宋体" w:cs="宋体"/>
                <w:szCs w:val="21"/>
                <w:highlight w:val="none"/>
                <w:lang w:eastAsia="zh-CN"/>
              </w:rPr>
              <w:t>，</w:t>
            </w:r>
            <w:r>
              <w:rPr>
                <w:rFonts w:hint="eastAsia" w:ascii="宋体" w:hAnsi="宋体" w:cs="宋体"/>
                <w:szCs w:val="21"/>
                <w:highlight w:val="none"/>
                <w:lang w:val="en-US" w:eastAsia="zh-CN"/>
              </w:rPr>
              <w:t>未发生处罚事件</w:t>
            </w:r>
            <w:r>
              <w:rPr>
                <w:rFonts w:hint="eastAsia" w:ascii="宋体" w:hAnsi="宋体" w:cs="宋体"/>
                <w:szCs w:val="21"/>
                <w:highlight w:val="none"/>
              </w:rPr>
              <w:t>。</w:t>
            </w:r>
          </w:p>
          <w:p>
            <w:pPr>
              <w:spacing w:line="360" w:lineRule="auto"/>
              <w:ind w:firstLine="315" w:firstLineChars="150"/>
              <w:jc w:val="left"/>
              <w:rPr>
                <w:rFonts w:hint="eastAsia" w:ascii="宋体" w:hAnsi="宋体" w:cs="宋体"/>
                <w:szCs w:val="21"/>
                <w:highlight w:val="none"/>
                <w:lang w:eastAsia="zh-CN"/>
              </w:rPr>
            </w:pPr>
            <w:r>
              <w:rPr>
                <w:rFonts w:hint="eastAsia" w:ascii="宋体" w:hAnsi="宋体" w:cs="宋体"/>
                <w:szCs w:val="21"/>
                <w:highlight w:val="none"/>
              </w:rPr>
              <w:t>现场查见认证证书、标志的使用无违规使用情况</w:t>
            </w:r>
            <w:r>
              <w:rPr>
                <w:rFonts w:hint="eastAsia" w:ascii="宋体" w:hAnsi="宋体" w:cs="宋体"/>
                <w:szCs w:val="21"/>
                <w:highlight w:val="none"/>
                <w:lang w:eastAsia="zh-CN"/>
              </w:rPr>
              <w:t>；</w:t>
            </w:r>
          </w:p>
          <w:p>
            <w:pPr>
              <w:ind w:firstLine="210" w:firstLineChars="100"/>
              <w:rPr>
                <w:rFonts w:ascii="Times New Roman" w:hAnsi="Times New Roman" w:eastAsia="宋体" w:cs="Times New Roman"/>
                <w:kern w:val="2"/>
                <w:sz w:val="21"/>
                <w:lang w:val="en-US" w:eastAsia="zh-CN" w:bidi="ar-SA"/>
              </w:rPr>
            </w:pPr>
            <w:r>
              <w:rPr>
                <w:rFonts w:hint="eastAsia" w:ascii="宋体" w:hAnsi="宋体" w:cs="宋体"/>
                <w:szCs w:val="21"/>
                <w:highlight w:val="none"/>
                <w:lang w:val="en-US" w:eastAsia="zh-CN"/>
              </w:rPr>
              <w:t>初审</w:t>
            </w:r>
            <w:r>
              <w:rPr>
                <w:rFonts w:hint="eastAsia" w:ascii="宋体" w:hAnsi="宋体" w:cs="宋体"/>
                <w:szCs w:val="21"/>
                <w:highlight w:val="none"/>
              </w:rPr>
              <w:t>不符合项</w:t>
            </w:r>
            <w:r>
              <w:rPr>
                <w:rFonts w:hint="eastAsia" w:ascii="宋体" w:hAnsi="宋体" w:cs="宋体"/>
                <w:szCs w:val="21"/>
                <w:highlight w:val="none"/>
                <w:lang w:val="en-US" w:eastAsia="zh-CN"/>
              </w:rPr>
              <w:t>2</w:t>
            </w:r>
            <w:r>
              <w:rPr>
                <w:rFonts w:hint="eastAsia" w:ascii="宋体" w:hAnsi="宋体" w:cs="宋体"/>
                <w:szCs w:val="21"/>
                <w:highlight w:val="none"/>
              </w:rPr>
              <w:t>项</w:t>
            </w:r>
            <w:r>
              <w:rPr>
                <w:rFonts w:hint="eastAsia" w:ascii="宋体" w:hAnsi="宋体" w:cs="宋体"/>
                <w:szCs w:val="21"/>
                <w:highlight w:val="none"/>
                <w:lang w:eastAsia="zh-CN"/>
              </w:rPr>
              <w:t>，</w:t>
            </w:r>
            <w:r>
              <w:rPr>
                <w:rFonts w:hint="eastAsia" w:ascii="宋体" w:hAnsi="宋体" w:cs="宋体"/>
                <w:szCs w:val="21"/>
                <w:highlight w:val="none"/>
              </w:rPr>
              <w:t>经本次审核验证，未出现类似的不符合情况。</w:t>
            </w:r>
          </w:p>
        </w:tc>
        <w:tc>
          <w:tcPr>
            <w:tcW w:w="1585" w:type="dxa"/>
            <w:shd w:val="clear" w:color="auto" w:fill="auto"/>
            <w:vAlign w:val="top"/>
          </w:tcPr>
          <w:p>
            <w:pPr>
              <w:rPr>
                <w:rFonts w:ascii="Times New Roman" w:hAnsi="Times New Roman" w:eastAsia="宋体" w:cs="Times New Roman"/>
                <w:kern w:val="2"/>
                <w:sz w:val="21"/>
                <w:lang w:val="en-US" w:eastAsia="zh-CN" w:bidi="ar-SA"/>
              </w:rPr>
            </w:pPr>
            <w:r>
              <w:rPr>
                <w:rFonts w:hint="eastAsia"/>
              </w:rPr>
              <w:t>/</w:t>
            </w:r>
          </w:p>
        </w:tc>
      </w:tr>
    </w:tbl>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CIDFont+F5">
    <w:altName w:val="宋体"/>
    <w:panose1 w:val="00000000000000000000"/>
    <w:charset w:val="86"/>
    <w:family w:val="auto"/>
    <w:pitch w:val="default"/>
    <w:sig w:usb0="00000000" w:usb1="00000000" w:usb2="00000000" w:usb3="00000000" w:csb0="00040000" w:csb1="00000000"/>
  </w:font>
  <w:font w:name="Calibri">
    <w:panose1 w:val="020F0502020204030204"/>
    <w:charset w:val="86"/>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90" w:firstLineChars="550"/>
      <w:jc w:val="left"/>
      <w:rPr>
        <w:rStyle w:val="14"/>
        <w:rFonts w:hint="default"/>
      </w:rPr>
    </w:pPr>
    <w:r>
      <w:drawing>
        <wp:anchor distT="0" distB="0" distL="114300" distR="114300" simplePos="0" relativeHeight="251660288" behindDoc="0" locked="0" layoutInCell="1" allowOverlap="1">
          <wp:simplePos x="0" y="0"/>
          <wp:positionH relativeFrom="column">
            <wp:posOffset>77470</wp:posOffset>
          </wp:positionH>
          <wp:positionV relativeFrom="paragraph">
            <wp:posOffset>-19050</wp:posOffset>
          </wp:positionV>
          <wp:extent cx="418465" cy="421640"/>
          <wp:effectExtent l="0" t="0" r="635" b="1016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18465" cy="421640"/>
                  </a:xfrm>
                  <a:prstGeom prst="rect">
                    <a:avLst/>
                  </a:prstGeom>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 xml:space="preserve">12 </w:t>
                          </w:r>
                          <w:r>
                            <w:rPr>
                              <w:rFonts w:hint="eastAsia"/>
                              <w:sz w:val="18"/>
                              <w:szCs w:val="18"/>
                            </w:rPr>
                            <w:t>(0</w:t>
                          </w:r>
                          <w:r>
                            <w:rPr>
                              <w:rFonts w:hint="eastAsia"/>
                              <w:sz w:val="18"/>
                              <w:szCs w:val="18"/>
                              <w:lang w:val="en-US" w:eastAsia="zh-CN"/>
                            </w:rPr>
                            <w:t>5</w:t>
                          </w:r>
                          <w:r>
                            <w:rPr>
                              <w:rFonts w:hint="eastAsia"/>
                              <w:sz w:val="18"/>
                              <w:szCs w:val="18"/>
                            </w:rPr>
                            <w:t>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 xml:space="preserve">12 </w:t>
                    </w:r>
                    <w:r>
                      <w:rPr>
                        <w:rFonts w:hint="eastAsia"/>
                        <w:sz w:val="18"/>
                        <w:szCs w:val="18"/>
                      </w:rPr>
                      <w:t>(0</w:t>
                    </w:r>
                    <w:r>
                      <w:rPr>
                        <w:rFonts w:hint="eastAsia"/>
                        <w:sz w:val="18"/>
                        <w:szCs w:val="18"/>
                        <w:lang w:val="en-US" w:eastAsia="zh-CN"/>
                      </w:rPr>
                      <w:t>5</w:t>
                    </w:r>
                    <w:r>
                      <w:rPr>
                        <w:rFonts w:hint="eastAsia"/>
                        <w:sz w:val="18"/>
                        <w:szCs w:val="18"/>
                      </w:rPr>
                      <w:t>版)</w:t>
                    </w:r>
                  </w:p>
                </w:txbxContent>
              </v:textbox>
            </v:shape>
          </w:pict>
        </mc:Fallback>
      </mc:AlternateConten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4EF5F"/>
    <w:multiLevelType w:val="singleLevel"/>
    <w:tmpl w:val="C534EF5F"/>
    <w:lvl w:ilvl="0" w:tentative="0">
      <w:start w:val="1"/>
      <w:numFmt w:val="decimal"/>
      <w:lvlText w:val="%1."/>
      <w:lvlJc w:val="left"/>
      <w:pPr>
        <w:tabs>
          <w:tab w:val="left" w:pos="312"/>
        </w:tabs>
      </w:pPr>
    </w:lvl>
  </w:abstractNum>
  <w:abstractNum w:abstractNumId="1">
    <w:nsid w:val="19E194F9"/>
    <w:multiLevelType w:val="singleLevel"/>
    <w:tmpl w:val="19E194F9"/>
    <w:lvl w:ilvl="0" w:tentative="0">
      <w:start w:val="1"/>
      <w:numFmt w:val="lowerLetter"/>
      <w:lvlText w:val="%1)"/>
      <w:lvlJc w:val="left"/>
      <w:pPr>
        <w:tabs>
          <w:tab w:val="left" w:pos="312"/>
        </w:tabs>
      </w:pPr>
    </w:lvl>
  </w:abstractNum>
  <w:abstractNum w:abstractNumId="2">
    <w:nsid w:val="2E368935"/>
    <w:multiLevelType w:val="singleLevel"/>
    <w:tmpl w:val="2E368935"/>
    <w:lvl w:ilvl="0" w:tentative="0">
      <w:start w:val="1"/>
      <w:numFmt w:val="decimal"/>
      <w:suff w:val="space"/>
      <w:lvlText w:val="%1."/>
      <w:lvlJc w:val="left"/>
    </w:lvl>
  </w:abstractNum>
  <w:abstractNum w:abstractNumId="3">
    <w:nsid w:val="338111A7"/>
    <w:multiLevelType w:val="singleLevel"/>
    <w:tmpl w:val="338111A7"/>
    <w:lvl w:ilvl="0" w:tentative="0">
      <w:start w:val="1"/>
      <w:numFmt w:val="decimal"/>
      <w:suff w:val="space"/>
      <w:lvlText w:val="%1."/>
      <w:lvlJc w:val="left"/>
    </w:lvl>
  </w:abstractNum>
  <w:abstractNum w:abstractNumId="4">
    <w:nsid w:val="3E710B12"/>
    <w:multiLevelType w:val="singleLevel"/>
    <w:tmpl w:val="3E710B12"/>
    <w:lvl w:ilvl="0" w:tentative="0">
      <w:start w:val="1"/>
      <w:numFmt w:val="decimal"/>
      <w:suff w:val="space"/>
      <w:lvlText w:val="%1."/>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7F6"/>
    <w:rsid w:val="0003373A"/>
    <w:rsid w:val="000400E2"/>
    <w:rsid w:val="00062E46"/>
    <w:rsid w:val="000E6B21"/>
    <w:rsid w:val="00110F1B"/>
    <w:rsid w:val="00111F25"/>
    <w:rsid w:val="001126B5"/>
    <w:rsid w:val="00120E8B"/>
    <w:rsid w:val="001215BE"/>
    <w:rsid w:val="00162F05"/>
    <w:rsid w:val="00172A27"/>
    <w:rsid w:val="00187390"/>
    <w:rsid w:val="00187B1F"/>
    <w:rsid w:val="00190C3D"/>
    <w:rsid w:val="001A2D7F"/>
    <w:rsid w:val="0020258E"/>
    <w:rsid w:val="002939AD"/>
    <w:rsid w:val="002F5D15"/>
    <w:rsid w:val="00302C11"/>
    <w:rsid w:val="00307E64"/>
    <w:rsid w:val="00314AF6"/>
    <w:rsid w:val="00337922"/>
    <w:rsid w:val="00340867"/>
    <w:rsid w:val="00380837"/>
    <w:rsid w:val="003A198A"/>
    <w:rsid w:val="003A6AE8"/>
    <w:rsid w:val="00410914"/>
    <w:rsid w:val="004158C2"/>
    <w:rsid w:val="004177C7"/>
    <w:rsid w:val="004263F7"/>
    <w:rsid w:val="00433D0D"/>
    <w:rsid w:val="00470670"/>
    <w:rsid w:val="004724DC"/>
    <w:rsid w:val="0048186C"/>
    <w:rsid w:val="0048201E"/>
    <w:rsid w:val="004D012D"/>
    <w:rsid w:val="005158BA"/>
    <w:rsid w:val="00517B9B"/>
    <w:rsid w:val="0052165A"/>
    <w:rsid w:val="00536930"/>
    <w:rsid w:val="00553344"/>
    <w:rsid w:val="00564E53"/>
    <w:rsid w:val="00572483"/>
    <w:rsid w:val="005D5659"/>
    <w:rsid w:val="00600C20"/>
    <w:rsid w:val="006155F0"/>
    <w:rsid w:val="00617895"/>
    <w:rsid w:val="00644FE2"/>
    <w:rsid w:val="00651851"/>
    <w:rsid w:val="006531C3"/>
    <w:rsid w:val="0067640C"/>
    <w:rsid w:val="006E678B"/>
    <w:rsid w:val="006E7B1D"/>
    <w:rsid w:val="00733AF3"/>
    <w:rsid w:val="0074288D"/>
    <w:rsid w:val="007757F3"/>
    <w:rsid w:val="00784061"/>
    <w:rsid w:val="007C1B48"/>
    <w:rsid w:val="007C251F"/>
    <w:rsid w:val="007E3B15"/>
    <w:rsid w:val="007E6AEB"/>
    <w:rsid w:val="007F4422"/>
    <w:rsid w:val="008973EE"/>
    <w:rsid w:val="008E318D"/>
    <w:rsid w:val="008E686A"/>
    <w:rsid w:val="00905985"/>
    <w:rsid w:val="00971600"/>
    <w:rsid w:val="009973B4"/>
    <w:rsid w:val="009A6186"/>
    <w:rsid w:val="009B79B7"/>
    <w:rsid w:val="009C28C1"/>
    <w:rsid w:val="009F7EED"/>
    <w:rsid w:val="00A30CCE"/>
    <w:rsid w:val="00A63811"/>
    <w:rsid w:val="00A80636"/>
    <w:rsid w:val="00A90839"/>
    <w:rsid w:val="00AE1EC1"/>
    <w:rsid w:val="00AE46F3"/>
    <w:rsid w:val="00AF0AAB"/>
    <w:rsid w:val="00BB6E34"/>
    <w:rsid w:val="00BE01CF"/>
    <w:rsid w:val="00BF597E"/>
    <w:rsid w:val="00C2373F"/>
    <w:rsid w:val="00C51A36"/>
    <w:rsid w:val="00C55228"/>
    <w:rsid w:val="00C63768"/>
    <w:rsid w:val="00C650BA"/>
    <w:rsid w:val="00C77034"/>
    <w:rsid w:val="00C96C18"/>
    <w:rsid w:val="00CA78BA"/>
    <w:rsid w:val="00CE315A"/>
    <w:rsid w:val="00D06F59"/>
    <w:rsid w:val="00D124CD"/>
    <w:rsid w:val="00D55349"/>
    <w:rsid w:val="00D601EF"/>
    <w:rsid w:val="00D64E7C"/>
    <w:rsid w:val="00D81062"/>
    <w:rsid w:val="00D8388C"/>
    <w:rsid w:val="00E45570"/>
    <w:rsid w:val="00E6224C"/>
    <w:rsid w:val="00EA37D1"/>
    <w:rsid w:val="00EB0164"/>
    <w:rsid w:val="00EB0AD6"/>
    <w:rsid w:val="00EB34D6"/>
    <w:rsid w:val="00ED0F62"/>
    <w:rsid w:val="00EE5B78"/>
    <w:rsid w:val="00EF30B1"/>
    <w:rsid w:val="00F410DB"/>
    <w:rsid w:val="00F50DAF"/>
    <w:rsid w:val="00F51DFC"/>
    <w:rsid w:val="00FD5243"/>
    <w:rsid w:val="00FD7E24"/>
    <w:rsid w:val="00FF2438"/>
    <w:rsid w:val="01260C71"/>
    <w:rsid w:val="01274DB4"/>
    <w:rsid w:val="0148246F"/>
    <w:rsid w:val="01A177D4"/>
    <w:rsid w:val="01B97AED"/>
    <w:rsid w:val="01BB3069"/>
    <w:rsid w:val="01CE4435"/>
    <w:rsid w:val="01E27364"/>
    <w:rsid w:val="01F72228"/>
    <w:rsid w:val="02203F02"/>
    <w:rsid w:val="0228580F"/>
    <w:rsid w:val="026A697D"/>
    <w:rsid w:val="028120F9"/>
    <w:rsid w:val="02C41A3B"/>
    <w:rsid w:val="02C75A20"/>
    <w:rsid w:val="03085664"/>
    <w:rsid w:val="0326784C"/>
    <w:rsid w:val="032F5195"/>
    <w:rsid w:val="03373FF4"/>
    <w:rsid w:val="03504EFA"/>
    <w:rsid w:val="036737B4"/>
    <w:rsid w:val="03A0688A"/>
    <w:rsid w:val="03A32F8E"/>
    <w:rsid w:val="03AC3D8E"/>
    <w:rsid w:val="03CE483E"/>
    <w:rsid w:val="03CF54E8"/>
    <w:rsid w:val="03D738E7"/>
    <w:rsid w:val="0405614C"/>
    <w:rsid w:val="042332AF"/>
    <w:rsid w:val="044125D6"/>
    <w:rsid w:val="0441326A"/>
    <w:rsid w:val="04414625"/>
    <w:rsid w:val="04883DB3"/>
    <w:rsid w:val="04981EC9"/>
    <w:rsid w:val="04C420B7"/>
    <w:rsid w:val="04E2389D"/>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700448C"/>
    <w:rsid w:val="071261A2"/>
    <w:rsid w:val="07A565CE"/>
    <w:rsid w:val="07C13D29"/>
    <w:rsid w:val="07ED0401"/>
    <w:rsid w:val="07EF616D"/>
    <w:rsid w:val="07F5731B"/>
    <w:rsid w:val="081B6228"/>
    <w:rsid w:val="083339D6"/>
    <w:rsid w:val="08767210"/>
    <w:rsid w:val="0884117F"/>
    <w:rsid w:val="08851DD7"/>
    <w:rsid w:val="088F34A6"/>
    <w:rsid w:val="08A65A0B"/>
    <w:rsid w:val="08C22483"/>
    <w:rsid w:val="08ED1EE8"/>
    <w:rsid w:val="09005957"/>
    <w:rsid w:val="09621B67"/>
    <w:rsid w:val="096333C5"/>
    <w:rsid w:val="096E3805"/>
    <w:rsid w:val="0977604F"/>
    <w:rsid w:val="09933EF9"/>
    <w:rsid w:val="09AA0CA5"/>
    <w:rsid w:val="09DC02FD"/>
    <w:rsid w:val="09FA6045"/>
    <w:rsid w:val="0A0D6F0D"/>
    <w:rsid w:val="0A0F142E"/>
    <w:rsid w:val="0A1C56C1"/>
    <w:rsid w:val="0A793506"/>
    <w:rsid w:val="0A8371C4"/>
    <w:rsid w:val="0A904067"/>
    <w:rsid w:val="0ACA6ED2"/>
    <w:rsid w:val="0AEF4D8D"/>
    <w:rsid w:val="0B0C5CAD"/>
    <w:rsid w:val="0B10795D"/>
    <w:rsid w:val="0B3A4AAA"/>
    <w:rsid w:val="0B4D2BD0"/>
    <w:rsid w:val="0B8E28C6"/>
    <w:rsid w:val="0BC32499"/>
    <w:rsid w:val="0BCE544E"/>
    <w:rsid w:val="0BE64DFF"/>
    <w:rsid w:val="0C466D6D"/>
    <w:rsid w:val="0C5423F7"/>
    <w:rsid w:val="0C8009B8"/>
    <w:rsid w:val="0C842FD4"/>
    <w:rsid w:val="0C933901"/>
    <w:rsid w:val="0CA27A29"/>
    <w:rsid w:val="0CC102DA"/>
    <w:rsid w:val="0CC85F41"/>
    <w:rsid w:val="0CC87248"/>
    <w:rsid w:val="0CD5463E"/>
    <w:rsid w:val="0CE57F67"/>
    <w:rsid w:val="0CEB516B"/>
    <w:rsid w:val="0D0D1D0A"/>
    <w:rsid w:val="0D181113"/>
    <w:rsid w:val="0D1E4D9B"/>
    <w:rsid w:val="0D4D1326"/>
    <w:rsid w:val="0D6A2C36"/>
    <w:rsid w:val="0D7B34FF"/>
    <w:rsid w:val="0DB35CC0"/>
    <w:rsid w:val="0DD9585D"/>
    <w:rsid w:val="0DE5766F"/>
    <w:rsid w:val="0E306F6C"/>
    <w:rsid w:val="0E49595F"/>
    <w:rsid w:val="0E4C35DF"/>
    <w:rsid w:val="0E5927F2"/>
    <w:rsid w:val="0EA43140"/>
    <w:rsid w:val="0EA50415"/>
    <w:rsid w:val="0EB8524B"/>
    <w:rsid w:val="0EB8667B"/>
    <w:rsid w:val="0ECE0C57"/>
    <w:rsid w:val="0F7C4252"/>
    <w:rsid w:val="0F86648B"/>
    <w:rsid w:val="0FBB3782"/>
    <w:rsid w:val="0FD47866"/>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BD2BE2"/>
    <w:rsid w:val="11BE2038"/>
    <w:rsid w:val="11C40475"/>
    <w:rsid w:val="11DC0AC4"/>
    <w:rsid w:val="11E2439D"/>
    <w:rsid w:val="121A66AF"/>
    <w:rsid w:val="121B012F"/>
    <w:rsid w:val="12563B2D"/>
    <w:rsid w:val="126207EB"/>
    <w:rsid w:val="12A2571D"/>
    <w:rsid w:val="12A42EA7"/>
    <w:rsid w:val="12A506D3"/>
    <w:rsid w:val="12BA01F9"/>
    <w:rsid w:val="131C6135"/>
    <w:rsid w:val="13296CDD"/>
    <w:rsid w:val="133370C5"/>
    <w:rsid w:val="134E7573"/>
    <w:rsid w:val="13641F47"/>
    <w:rsid w:val="13890C2B"/>
    <w:rsid w:val="139E437B"/>
    <w:rsid w:val="13A420AC"/>
    <w:rsid w:val="13C11723"/>
    <w:rsid w:val="13DB5CFA"/>
    <w:rsid w:val="13EB79B2"/>
    <w:rsid w:val="13F05B29"/>
    <w:rsid w:val="13FF2186"/>
    <w:rsid w:val="142B1883"/>
    <w:rsid w:val="145B46D3"/>
    <w:rsid w:val="14642D75"/>
    <w:rsid w:val="14A349D6"/>
    <w:rsid w:val="14C400FD"/>
    <w:rsid w:val="14CC6277"/>
    <w:rsid w:val="14F1297E"/>
    <w:rsid w:val="14F26225"/>
    <w:rsid w:val="15023387"/>
    <w:rsid w:val="15051B66"/>
    <w:rsid w:val="1505218A"/>
    <w:rsid w:val="151414F9"/>
    <w:rsid w:val="154C7AB0"/>
    <w:rsid w:val="15597511"/>
    <w:rsid w:val="155F4281"/>
    <w:rsid w:val="156F663C"/>
    <w:rsid w:val="15B265C1"/>
    <w:rsid w:val="15B5072B"/>
    <w:rsid w:val="15BC540D"/>
    <w:rsid w:val="160D3D01"/>
    <w:rsid w:val="16210B83"/>
    <w:rsid w:val="16583F2B"/>
    <w:rsid w:val="1659703F"/>
    <w:rsid w:val="16AB3CAD"/>
    <w:rsid w:val="16E341B9"/>
    <w:rsid w:val="16F10A78"/>
    <w:rsid w:val="17226BDD"/>
    <w:rsid w:val="17446813"/>
    <w:rsid w:val="177551EA"/>
    <w:rsid w:val="177A1A29"/>
    <w:rsid w:val="178419DC"/>
    <w:rsid w:val="179B1D36"/>
    <w:rsid w:val="17C079EC"/>
    <w:rsid w:val="17C85124"/>
    <w:rsid w:val="17F76BA3"/>
    <w:rsid w:val="18086A43"/>
    <w:rsid w:val="182A66F0"/>
    <w:rsid w:val="18417AFA"/>
    <w:rsid w:val="186219FD"/>
    <w:rsid w:val="186A6524"/>
    <w:rsid w:val="186F767B"/>
    <w:rsid w:val="187F0353"/>
    <w:rsid w:val="18844129"/>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C3FF9"/>
    <w:rsid w:val="1A83044C"/>
    <w:rsid w:val="1A996190"/>
    <w:rsid w:val="1AAF33A8"/>
    <w:rsid w:val="1AB42370"/>
    <w:rsid w:val="1ABB036D"/>
    <w:rsid w:val="1ACF1254"/>
    <w:rsid w:val="1AE83DAE"/>
    <w:rsid w:val="1AED5B63"/>
    <w:rsid w:val="1B1E6CAD"/>
    <w:rsid w:val="1B462375"/>
    <w:rsid w:val="1B5E3B97"/>
    <w:rsid w:val="1B6B0728"/>
    <w:rsid w:val="1BE61A9D"/>
    <w:rsid w:val="1C392A3A"/>
    <w:rsid w:val="1C683E38"/>
    <w:rsid w:val="1CB1322F"/>
    <w:rsid w:val="1CEB1474"/>
    <w:rsid w:val="1CF3399B"/>
    <w:rsid w:val="1CFD2AFE"/>
    <w:rsid w:val="1D0B42B9"/>
    <w:rsid w:val="1D4D4A00"/>
    <w:rsid w:val="1D641370"/>
    <w:rsid w:val="1DAE3E96"/>
    <w:rsid w:val="1DC4038A"/>
    <w:rsid w:val="1DE72E6D"/>
    <w:rsid w:val="1DF36090"/>
    <w:rsid w:val="1DFE25B1"/>
    <w:rsid w:val="1E1A7AD5"/>
    <w:rsid w:val="1E1B241E"/>
    <w:rsid w:val="1E34711A"/>
    <w:rsid w:val="1E3D6E5E"/>
    <w:rsid w:val="1E511FFA"/>
    <w:rsid w:val="1E675439"/>
    <w:rsid w:val="1E6B0815"/>
    <w:rsid w:val="1E752FA2"/>
    <w:rsid w:val="1E846B0F"/>
    <w:rsid w:val="1E8A1FBA"/>
    <w:rsid w:val="1ED406CA"/>
    <w:rsid w:val="1ED9609A"/>
    <w:rsid w:val="1EF77273"/>
    <w:rsid w:val="1F0756AB"/>
    <w:rsid w:val="1F1B65D5"/>
    <w:rsid w:val="1F35289F"/>
    <w:rsid w:val="1F4E73A5"/>
    <w:rsid w:val="1F61098D"/>
    <w:rsid w:val="1F752242"/>
    <w:rsid w:val="1F756527"/>
    <w:rsid w:val="1F7F0170"/>
    <w:rsid w:val="1F8E0A45"/>
    <w:rsid w:val="1FAB395F"/>
    <w:rsid w:val="1FB8538A"/>
    <w:rsid w:val="1FF16224"/>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652AA3"/>
    <w:rsid w:val="21A07B88"/>
    <w:rsid w:val="21A34258"/>
    <w:rsid w:val="21A576DD"/>
    <w:rsid w:val="21B31BF6"/>
    <w:rsid w:val="21D24208"/>
    <w:rsid w:val="21E11F3F"/>
    <w:rsid w:val="21EA5593"/>
    <w:rsid w:val="226B2F60"/>
    <w:rsid w:val="227D2F04"/>
    <w:rsid w:val="22813299"/>
    <w:rsid w:val="229F2D1A"/>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A24DAB"/>
    <w:rsid w:val="24B6555E"/>
    <w:rsid w:val="24FC7C66"/>
    <w:rsid w:val="2519537A"/>
    <w:rsid w:val="258041F6"/>
    <w:rsid w:val="258609CC"/>
    <w:rsid w:val="25B809C4"/>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341F0D"/>
    <w:rsid w:val="28736D78"/>
    <w:rsid w:val="2892323E"/>
    <w:rsid w:val="289361DE"/>
    <w:rsid w:val="28C3395C"/>
    <w:rsid w:val="291C5E47"/>
    <w:rsid w:val="296D2D47"/>
    <w:rsid w:val="297509B1"/>
    <w:rsid w:val="298C2767"/>
    <w:rsid w:val="29A77C84"/>
    <w:rsid w:val="29CB46C2"/>
    <w:rsid w:val="29DD1C13"/>
    <w:rsid w:val="29F27AD4"/>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D60481"/>
    <w:rsid w:val="2BE40375"/>
    <w:rsid w:val="2BEA3FA7"/>
    <w:rsid w:val="2C2E44D4"/>
    <w:rsid w:val="2C486A96"/>
    <w:rsid w:val="2C6D435A"/>
    <w:rsid w:val="2C6E2027"/>
    <w:rsid w:val="2C7B6C71"/>
    <w:rsid w:val="2CE67CB5"/>
    <w:rsid w:val="2D095658"/>
    <w:rsid w:val="2D357F0D"/>
    <w:rsid w:val="2D4E604F"/>
    <w:rsid w:val="2D5C2AB0"/>
    <w:rsid w:val="2D7A20E6"/>
    <w:rsid w:val="2D7B66E3"/>
    <w:rsid w:val="2D913577"/>
    <w:rsid w:val="2D9A3020"/>
    <w:rsid w:val="2DC57805"/>
    <w:rsid w:val="2DDF08DF"/>
    <w:rsid w:val="2DE76EE7"/>
    <w:rsid w:val="2DFF79D8"/>
    <w:rsid w:val="2E367C56"/>
    <w:rsid w:val="2E440885"/>
    <w:rsid w:val="2E4875EB"/>
    <w:rsid w:val="2EEE512C"/>
    <w:rsid w:val="2EFB364D"/>
    <w:rsid w:val="2F7C571D"/>
    <w:rsid w:val="2F824436"/>
    <w:rsid w:val="2FA86B66"/>
    <w:rsid w:val="2FB345E0"/>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01294B"/>
    <w:rsid w:val="331E21CE"/>
    <w:rsid w:val="332B6F8B"/>
    <w:rsid w:val="33424DF8"/>
    <w:rsid w:val="33562A0D"/>
    <w:rsid w:val="335C55FD"/>
    <w:rsid w:val="33715F28"/>
    <w:rsid w:val="33F07155"/>
    <w:rsid w:val="340C6245"/>
    <w:rsid w:val="34113C74"/>
    <w:rsid w:val="343C4522"/>
    <w:rsid w:val="347A0336"/>
    <w:rsid w:val="348376B7"/>
    <w:rsid w:val="34B53587"/>
    <w:rsid w:val="34F92D63"/>
    <w:rsid w:val="35527F1F"/>
    <w:rsid w:val="35623E6F"/>
    <w:rsid w:val="35754D97"/>
    <w:rsid w:val="357914C0"/>
    <w:rsid w:val="35994264"/>
    <w:rsid w:val="35D721CD"/>
    <w:rsid w:val="36174333"/>
    <w:rsid w:val="3623081B"/>
    <w:rsid w:val="362B5212"/>
    <w:rsid w:val="3640586E"/>
    <w:rsid w:val="364A3F09"/>
    <w:rsid w:val="367A501B"/>
    <w:rsid w:val="36807498"/>
    <w:rsid w:val="369E57D4"/>
    <w:rsid w:val="36C91110"/>
    <w:rsid w:val="36EA4486"/>
    <w:rsid w:val="36F725CF"/>
    <w:rsid w:val="372D3763"/>
    <w:rsid w:val="37437FCF"/>
    <w:rsid w:val="3763284C"/>
    <w:rsid w:val="376F1CDE"/>
    <w:rsid w:val="378D2491"/>
    <w:rsid w:val="37A3423F"/>
    <w:rsid w:val="37A66325"/>
    <w:rsid w:val="37AF435B"/>
    <w:rsid w:val="37B82B0E"/>
    <w:rsid w:val="37D8509F"/>
    <w:rsid w:val="380178E9"/>
    <w:rsid w:val="38363F4B"/>
    <w:rsid w:val="385969A9"/>
    <w:rsid w:val="386866FF"/>
    <w:rsid w:val="38803663"/>
    <w:rsid w:val="389A539F"/>
    <w:rsid w:val="38A048C7"/>
    <w:rsid w:val="38B37216"/>
    <w:rsid w:val="38BD5C7F"/>
    <w:rsid w:val="38C5580C"/>
    <w:rsid w:val="38EC325F"/>
    <w:rsid w:val="38F948C4"/>
    <w:rsid w:val="39065B84"/>
    <w:rsid w:val="39286E54"/>
    <w:rsid w:val="394A5FEF"/>
    <w:rsid w:val="395956D6"/>
    <w:rsid w:val="398946BB"/>
    <w:rsid w:val="399117DD"/>
    <w:rsid w:val="39972637"/>
    <w:rsid w:val="399B386E"/>
    <w:rsid w:val="39D7104B"/>
    <w:rsid w:val="39DC06E8"/>
    <w:rsid w:val="39FA079B"/>
    <w:rsid w:val="3A34450F"/>
    <w:rsid w:val="3A3E0D9F"/>
    <w:rsid w:val="3A5573DE"/>
    <w:rsid w:val="3AAB1306"/>
    <w:rsid w:val="3ABD0173"/>
    <w:rsid w:val="3AC172FF"/>
    <w:rsid w:val="3ACE23E2"/>
    <w:rsid w:val="3ADD35A8"/>
    <w:rsid w:val="3B0D014A"/>
    <w:rsid w:val="3B125D65"/>
    <w:rsid w:val="3B227AA7"/>
    <w:rsid w:val="3B4241C0"/>
    <w:rsid w:val="3B556BCC"/>
    <w:rsid w:val="3B5F0280"/>
    <w:rsid w:val="3BAB4C5D"/>
    <w:rsid w:val="3BEE1D6F"/>
    <w:rsid w:val="3BF1473C"/>
    <w:rsid w:val="3C543264"/>
    <w:rsid w:val="3C5C5688"/>
    <w:rsid w:val="3C88101D"/>
    <w:rsid w:val="3CA475E5"/>
    <w:rsid w:val="3CA717F2"/>
    <w:rsid w:val="3CC445CD"/>
    <w:rsid w:val="3CC56579"/>
    <w:rsid w:val="3CED4B6C"/>
    <w:rsid w:val="3D073283"/>
    <w:rsid w:val="3DAB460B"/>
    <w:rsid w:val="3DDA7DB2"/>
    <w:rsid w:val="3DE86112"/>
    <w:rsid w:val="3E342793"/>
    <w:rsid w:val="3E3C5235"/>
    <w:rsid w:val="3EA34B57"/>
    <w:rsid w:val="3EEF1E6E"/>
    <w:rsid w:val="3F532B3A"/>
    <w:rsid w:val="3F654598"/>
    <w:rsid w:val="3F8E03C8"/>
    <w:rsid w:val="3FC72695"/>
    <w:rsid w:val="3FD70A70"/>
    <w:rsid w:val="401C0838"/>
    <w:rsid w:val="403F19EE"/>
    <w:rsid w:val="40571F31"/>
    <w:rsid w:val="405F4BF0"/>
    <w:rsid w:val="40760623"/>
    <w:rsid w:val="408B7234"/>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6D20DE"/>
    <w:rsid w:val="427A1188"/>
    <w:rsid w:val="42942F0B"/>
    <w:rsid w:val="42C02986"/>
    <w:rsid w:val="42C26D29"/>
    <w:rsid w:val="432A5E11"/>
    <w:rsid w:val="433B1167"/>
    <w:rsid w:val="4352128B"/>
    <w:rsid w:val="435F500F"/>
    <w:rsid w:val="43C730CD"/>
    <w:rsid w:val="43CF2854"/>
    <w:rsid w:val="44087BCA"/>
    <w:rsid w:val="44350F69"/>
    <w:rsid w:val="447F43E8"/>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EA7997"/>
    <w:rsid w:val="470243E7"/>
    <w:rsid w:val="471F1498"/>
    <w:rsid w:val="47271944"/>
    <w:rsid w:val="473E10CC"/>
    <w:rsid w:val="475C4BFE"/>
    <w:rsid w:val="475D7730"/>
    <w:rsid w:val="47672228"/>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8610DE"/>
    <w:rsid w:val="4AD45EF1"/>
    <w:rsid w:val="4AE04A18"/>
    <w:rsid w:val="4B1401ED"/>
    <w:rsid w:val="4B337454"/>
    <w:rsid w:val="4B407CC6"/>
    <w:rsid w:val="4B42232B"/>
    <w:rsid w:val="4B825A76"/>
    <w:rsid w:val="4B86007D"/>
    <w:rsid w:val="4B8B3702"/>
    <w:rsid w:val="4B9B0D7E"/>
    <w:rsid w:val="4BC83B65"/>
    <w:rsid w:val="4BCF6DA3"/>
    <w:rsid w:val="4BDE2971"/>
    <w:rsid w:val="4C0C3B65"/>
    <w:rsid w:val="4C204239"/>
    <w:rsid w:val="4C247C80"/>
    <w:rsid w:val="4C92412F"/>
    <w:rsid w:val="4CA74E41"/>
    <w:rsid w:val="4CA91B51"/>
    <w:rsid w:val="4CAB23E7"/>
    <w:rsid w:val="4CB62537"/>
    <w:rsid w:val="4CD2365B"/>
    <w:rsid w:val="4D0F484F"/>
    <w:rsid w:val="4D352804"/>
    <w:rsid w:val="4D374D03"/>
    <w:rsid w:val="4D3F76B9"/>
    <w:rsid w:val="4D4D529E"/>
    <w:rsid w:val="4D791805"/>
    <w:rsid w:val="4D8F2F88"/>
    <w:rsid w:val="4D910E42"/>
    <w:rsid w:val="4DAA1759"/>
    <w:rsid w:val="4DB86BCB"/>
    <w:rsid w:val="4DD85058"/>
    <w:rsid w:val="4DED6ED9"/>
    <w:rsid w:val="4E0166A9"/>
    <w:rsid w:val="4E1551DB"/>
    <w:rsid w:val="4E47347D"/>
    <w:rsid w:val="4E540EE3"/>
    <w:rsid w:val="4E64232B"/>
    <w:rsid w:val="4E6C5E44"/>
    <w:rsid w:val="4E732061"/>
    <w:rsid w:val="4E7774D0"/>
    <w:rsid w:val="4EAA463D"/>
    <w:rsid w:val="4F594843"/>
    <w:rsid w:val="4F780CA6"/>
    <w:rsid w:val="4F88590D"/>
    <w:rsid w:val="5002769E"/>
    <w:rsid w:val="503C3BCC"/>
    <w:rsid w:val="50C41CF1"/>
    <w:rsid w:val="51217DA6"/>
    <w:rsid w:val="51294703"/>
    <w:rsid w:val="51425A27"/>
    <w:rsid w:val="5158757E"/>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041CD4"/>
    <w:rsid w:val="54124FEF"/>
    <w:rsid w:val="541C4B67"/>
    <w:rsid w:val="5424325D"/>
    <w:rsid w:val="550429BE"/>
    <w:rsid w:val="552A2893"/>
    <w:rsid w:val="55436287"/>
    <w:rsid w:val="556B045B"/>
    <w:rsid w:val="557D4E77"/>
    <w:rsid w:val="55B04E17"/>
    <w:rsid w:val="55C375DD"/>
    <w:rsid w:val="56156439"/>
    <w:rsid w:val="562716F5"/>
    <w:rsid w:val="56643532"/>
    <w:rsid w:val="56865BD8"/>
    <w:rsid w:val="568B5A7B"/>
    <w:rsid w:val="56997281"/>
    <w:rsid w:val="56C41BCC"/>
    <w:rsid w:val="56DE5DB9"/>
    <w:rsid w:val="570A6E63"/>
    <w:rsid w:val="573B0118"/>
    <w:rsid w:val="573D2268"/>
    <w:rsid w:val="57411925"/>
    <w:rsid w:val="57441E32"/>
    <w:rsid w:val="574E7265"/>
    <w:rsid w:val="57535542"/>
    <w:rsid w:val="57565282"/>
    <w:rsid w:val="575B3098"/>
    <w:rsid w:val="575E04B1"/>
    <w:rsid w:val="575E2B20"/>
    <w:rsid w:val="57A14CB5"/>
    <w:rsid w:val="57F55B90"/>
    <w:rsid w:val="580F191D"/>
    <w:rsid w:val="581B6507"/>
    <w:rsid w:val="58276F84"/>
    <w:rsid w:val="58310954"/>
    <w:rsid w:val="58584813"/>
    <w:rsid w:val="58876040"/>
    <w:rsid w:val="58B728A2"/>
    <w:rsid w:val="58B868EB"/>
    <w:rsid w:val="58CD6892"/>
    <w:rsid w:val="58D46744"/>
    <w:rsid w:val="58DA17E1"/>
    <w:rsid w:val="590D059A"/>
    <w:rsid w:val="592454D0"/>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AC1A52"/>
    <w:rsid w:val="5AD64AF2"/>
    <w:rsid w:val="5AF377C8"/>
    <w:rsid w:val="5B0449BC"/>
    <w:rsid w:val="5B513157"/>
    <w:rsid w:val="5B517209"/>
    <w:rsid w:val="5B534520"/>
    <w:rsid w:val="5B544EB3"/>
    <w:rsid w:val="5B6A33DD"/>
    <w:rsid w:val="5B7C5AEB"/>
    <w:rsid w:val="5BA144BF"/>
    <w:rsid w:val="5BD84182"/>
    <w:rsid w:val="5BF04FFA"/>
    <w:rsid w:val="5C241AEE"/>
    <w:rsid w:val="5C4D2649"/>
    <w:rsid w:val="5C6F6375"/>
    <w:rsid w:val="5C741B1E"/>
    <w:rsid w:val="5C8A22BA"/>
    <w:rsid w:val="5C8D6CFF"/>
    <w:rsid w:val="5C966EB6"/>
    <w:rsid w:val="5CB336E1"/>
    <w:rsid w:val="5CB9068F"/>
    <w:rsid w:val="5CE00D30"/>
    <w:rsid w:val="5CED4821"/>
    <w:rsid w:val="5CF21AD5"/>
    <w:rsid w:val="5CF77CCA"/>
    <w:rsid w:val="5D013462"/>
    <w:rsid w:val="5D3351AF"/>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E01254D"/>
    <w:rsid w:val="5E0D6E91"/>
    <w:rsid w:val="5E1D75C7"/>
    <w:rsid w:val="5E264AF8"/>
    <w:rsid w:val="5E3B413F"/>
    <w:rsid w:val="5E7447F0"/>
    <w:rsid w:val="5E7B5BB1"/>
    <w:rsid w:val="5E971B73"/>
    <w:rsid w:val="5EA12B9A"/>
    <w:rsid w:val="5EB61B43"/>
    <w:rsid w:val="5EBA7075"/>
    <w:rsid w:val="5EBF5DC8"/>
    <w:rsid w:val="5F02275D"/>
    <w:rsid w:val="5F14059B"/>
    <w:rsid w:val="5F291E1B"/>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686ED5"/>
    <w:rsid w:val="61744854"/>
    <w:rsid w:val="61857CB5"/>
    <w:rsid w:val="619A179D"/>
    <w:rsid w:val="61C47B95"/>
    <w:rsid w:val="61E77A7E"/>
    <w:rsid w:val="61EE7A69"/>
    <w:rsid w:val="62257ECD"/>
    <w:rsid w:val="622A4138"/>
    <w:rsid w:val="62385483"/>
    <w:rsid w:val="62385A6C"/>
    <w:rsid w:val="625901DA"/>
    <w:rsid w:val="62876D77"/>
    <w:rsid w:val="62CA4AF4"/>
    <w:rsid w:val="62E4371E"/>
    <w:rsid w:val="62FD1DFD"/>
    <w:rsid w:val="632045D1"/>
    <w:rsid w:val="6342544F"/>
    <w:rsid w:val="63645E75"/>
    <w:rsid w:val="63720424"/>
    <w:rsid w:val="63A31ABC"/>
    <w:rsid w:val="63C65078"/>
    <w:rsid w:val="63EA156F"/>
    <w:rsid w:val="63EA6D88"/>
    <w:rsid w:val="64106CE7"/>
    <w:rsid w:val="64621F9C"/>
    <w:rsid w:val="649C75C9"/>
    <w:rsid w:val="64A537DD"/>
    <w:rsid w:val="64B51DAE"/>
    <w:rsid w:val="64B679BB"/>
    <w:rsid w:val="64B96E85"/>
    <w:rsid w:val="64BB6795"/>
    <w:rsid w:val="64D069A0"/>
    <w:rsid w:val="64F27E75"/>
    <w:rsid w:val="65067C78"/>
    <w:rsid w:val="650C192E"/>
    <w:rsid w:val="6542498D"/>
    <w:rsid w:val="655D358A"/>
    <w:rsid w:val="65600ACC"/>
    <w:rsid w:val="65662197"/>
    <w:rsid w:val="658C79F9"/>
    <w:rsid w:val="65A33DF6"/>
    <w:rsid w:val="65B451D1"/>
    <w:rsid w:val="65BD4108"/>
    <w:rsid w:val="65BE04E1"/>
    <w:rsid w:val="65C11C22"/>
    <w:rsid w:val="65F429F0"/>
    <w:rsid w:val="65F4344F"/>
    <w:rsid w:val="66255B72"/>
    <w:rsid w:val="663F056D"/>
    <w:rsid w:val="665A6FDB"/>
    <w:rsid w:val="665B440E"/>
    <w:rsid w:val="66720AD3"/>
    <w:rsid w:val="66B368AE"/>
    <w:rsid w:val="66B532F3"/>
    <w:rsid w:val="66C2760F"/>
    <w:rsid w:val="66C71719"/>
    <w:rsid w:val="66CB2597"/>
    <w:rsid w:val="66E65335"/>
    <w:rsid w:val="66FA7FFA"/>
    <w:rsid w:val="66FD19D6"/>
    <w:rsid w:val="675A3B6C"/>
    <w:rsid w:val="678B4DA6"/>
    <w:rsid w:val="67AC0D53"/>
    <w:rsid w:val="67AF7DB6"/>
    <w:rsid w:val="680564C6"/>
    <w:rsid w:val="681B3F7A"/>
    <w:rsid w:val="68233428"/>
    <w:rsid w:val="68291784"/>
    <w:rsid w:val="6847289A"/>
    <w:rsid w:val="68494570"/>
    <w:rsid w:val="68567A54"/>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EC03CE"/>
    <w:rsid w:val="69F96768"/>
    <w:rsid w:val="6A176492"/>
    <w:rsid w:val="6A287F98"/>
    <w:rsid w:val="6A617707"/>
    <w:rsid w:val="6A657B3D"/>
    <w:rsid w:val="6A68684F"/>
    <w:rsid w:val="6A886720"/>
    <w:rsid w:val="6AB40496"/>
    <w:rsid w:val="6ABD1D5E"/>
    <w:rsid w:val="6AC0289E"/>
    <w:rsid w:val="6AF33939"/>
    <w:rsid w:val="6B0F60AF"/>
    <w:rsid w:val="6B795D62"/>
    <w:rsid w:val="6B894EA4"/>
    <w:rsid w:val="6B981EF4"/>
    <w:rsid w:val="6BC747F5"/>
    <w:rsid w:val="6BD35CE4"/>
    <w:rsid w:val="6BF1529E"/>
    <w:rsid w:val="6BF66D35"/>
    <w:rsid w:val="6C1272FC"/>
    <w:rsid w:val="6C2B02FA"/>
    <w:rsid w:val="6C3014BE"/>
    <w:rsid w:val="6C38001D"/>
    <w:rsid w:val="6C5D414F"/>
    <w:rsid w:val="6C77423E"/>
    <w:rsid w:val="6C9C2F85"/>
    <w:rsid w:val="6C9D6944"/>
    <w:rsid w:val="6CDE17FD"/>
    <w:rsid w:val="6CF21452"/>
    <w:rsid w:val="6D1D2C91"/>
    <w:rsid w:val="6D232D3C"/>
    <w:rsid w:val="6D2F5D1E"/>
    <w:rsid w:val="6D5B4A2E"/>
    <w:rsid w:val="6D792112"/>
    <w:rsid w:val="6DA004EB"/>
    <w:rsid w:val="6DA16646"/>
    <w:rsid w:val="6DE309B5"/>
    <w:rsid w:val="6DFC47DD"/>
    <w:rsid w:val="6E641038"/>
    <w:rsid w:val="6EB36C33"/>
    <w:rsid w:val="6EBD0EA6"/>
    <w:rsid w:val="6EBF38BA"/>
    <w:rsid w:val="6EE97CE2"/>
    <w:rsid w:val="6F2E7208"/>
    <w:rsid w:val="6F435405"/>
    <w:rsid w:val="6F4810D8"/>
    <w:rsid w:val="6F6D2BAA"/>
    <w:rsid w:val="6F7C3054"/>
    <w:rsid w:val="6F9A4A47"/>
    <w:rsid w:val="6FDC792B"/>
    <w:rsid w:val="701310D6"/>
    <w:rsid w:val="701710D0"/>
    <w:rsid w:val="702520EE"/>
    <w:rsid w:val="703777AC"/>
    <w:rsid w:val="70795456"/>
    <w:rsid w:val="707E2BAC"/>
    <w:rsid w:val="709946EC"/>
    <w:rsid w:val="70FF4497"/>
    <w:rsid w:val="724D262A"/>
    <w:rsid w:val="72702455"/>
    <w:rsid w:val="728F2E47"/>
    <w:rsid w:val="72973011"/>
    <w:rsid w:val="72CD6505"/>
    <w:rsid w:val="72E17D5E"/>
    <w:rsid w:val="72E25592"/>
    <w:rsid w:val="72E42D1B"/>
    <w:rsid w:val="72EA2DD0"/>
    <w:rsid w:val="730C52E1"/>
    <w:rsid w:val="734F0911"/>
    <w:rsid w:val="736054C4"/>
    <w:rsid w:val="736C572D"/>
    <w:rsid w:val="73A37628"/>
    <w:rsid w:val="73A422EB"/>
    <w:rsid w:val="73C80EF6"/>
    <w:rsid w:val="73D74043"/>
    <w:rsid w:val="73E67F55"/>
    <w:rsid w:val="74103E55"/>
    <w:rsid w:val="74456E15"/>
    <w:rsid w:val="745B622A"/>
    <w:rsid w:val="74663B44"/>
    <w:rsid w:val="753E2D2E"/>
    <w:rsid w:val="753F2F7D"/>
    <w:rsid w:val="75A744DB"/>
    <w:rsid w:val="75CD0955"/>
    <w:rsid w:val="75DB13A5"/>
    <w:rsid w:val="75E552E3"/>
    <w:rsid w:val="76190159"/>
    <w:rsid w:val="76346E4E"/>
    <w:rsid w:val="7648538B"/>
    <w:rsid w:val="76531223"/>
    <w:rsid w:val="765D1805"/>
    <w:rsid w:val="7663632F"/>
    <w:rsid w:val="76640645"/>
    <w:rsid w:val="767E47F6"/>
    <w:rsid w:val="7692158A"/>
    <w:rsid w:val="76BD747C"/>
    <w:rsid w:val="76CD52EB"/>
    <w:rsid w:val="76FE004A"/>
    <w:rsid w:val="77A268F6"/>
    <w:rsid w:val="77A519A7"/>
    <w:rsid w:val="77B415CE"/>
    <w:rsid w:val="77CC3658"/>
    <w:rsid w:val="77E26A35"/>
    <w:rsid w:val="780F54C3"/>
    <w:rsid w:val="782C6CF7"/>
    <w:rsid w:val="78557FA3"/>
    <w:rsid w:val="78644FBF"/>
    <w:rsid w:val="78680ECD"/>
    <w:rsid w:val="787F150D"/>
    <w:rsid w:val="787F4828"/>
    <w:rsid w:val="7880670B"/>
    <w:rsid w:val="789B60E9"/>
    <w:rsid w:val="78EE7F5B"/>
    <w:rsid w:val="78F11CE1"/>
    <w:rsid w:val="78F21206"/>
    <w:rsid w:val="78F66955"/>
    <w:rsid w:val="79053EDA"/>
    <w:rsid w:val="79097264"/>
    <w:rsid w:val="791D3993"/>
    <w:rsid w:val="79202162"/>
    <w:rsid w:val="7924138B"/>
    <w:rsid w:val="792B2C95"/>
    <w:rsid w:val="79432371"/>
    <w:rsid w:val="79537777"/>
    <w:rsid w:val="79826449"/>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CE5D2C"/>
    <w:rsid w:val="7AF6556E"/>
    <w:rsid w:val="7B1F77A4"/>
    <w:rsid w:val="7B292799"/>
    <w:rsid w:val="7B3F5420"/>
    <w:rsid w:val="7BCF2874"/>
    <w:rsid w:val="7C0471A6"/>
    <w:rsid w:val="7C090682"/>
    <w:rsid w:val="7C27141B"/>
    <w:rsid w:val="7C42064D"/>
    <w:rsid w:val="7C6A6CA8"/>
    <w:rsid w:val="7CB31FBB"/>
    <w:rsid w:val="7CE34119"/>
    <w:rsid w:val="7CEC5EE7"/>
    <w:rsid w:val="7CED21D3"/>
    <w:rsid w:val="7CF04E00"/>
    <w:rsid w:val="7D41026F"/>
    <w:rsid w:val="7D59343F"/>
    <w:rsid w:val="7D67119E"/>
    <w:rsid w:val="7D6C098F"/>
    <w:rsid w:val="7DA65D72"/>
    <w:rsid w:val="7DB8415C"/>
    <w:rsid w:val="7DE208A3"/>
    <w:rsid w:val="7DFE7906"/>
    <w:rsid w:val="7E0A78B3"/>
    <w:rsid w:val="7E2912F3"/>
    <w:rsid w:val="7E6305EF"/>
    <w:rsid w:val="7E8D50F9"/>
    <w:rsid w:val="7EBA6AA6"/>
    <w:rsid w:val="7EBA7F08"/>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Calibri Light" w:hAnsi="Calibri Light"/>
      <w:b/>
      <w:bCs/>
      <w:sz w:val="32"/>
      <w:szCs w:val="32"/>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Times New Roman" w:hAnsi="Times New Roman" w:eastAsia="宋体" w:cs="Times New Roman"/>
      <w:sz w:val="18"/>
      <w:szCs w:val="18"/>
    </w:rPr>
  </w:style>
  <w:style w:type="character" w:customStyle="1" w:styleId="12">
    <w:name w:val="页脚 字符"/>
    <w:basedOn w:val="10"/>
    <w:link w:val="5"/>
    <w:qFormat/>
    <w:uiPriority w:val="99"/>
    <w:rPr>
      <w:rFonts w:ascii="Times New Roman" w:hAnsi="Times New Roman" w:eastAsia="宋体" w:cs="Times New Roman"/>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Body text|1"/>
    <w:basedOn w:val="1"/>
    <w:qFormat/>
    <w:uiPriority w:val="0"/>
    <w:pPr>
      <w:spacing w:after="80"/>
    </w:pPr>
    <w:rPr>
      <w:rFonts w:ascii="MingLiU" w:hAnsi="MingLiU" w:eastAsia="MingLiU" w:cs="MingLiU"/>
      <w:sz w:val="20"/>
      <w:lang w:val="zh-TW" w:eastAsia="zh-TW" w:bidi="zh-TW"/>
    </w:rPr>
  </w:style>
  <w:style w:type="paragraph" w:customStyle="1" w:styleId="1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74A1E-630D-4B2F-992F-F8C25CE4C6D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1209</Words>
  <Characters>6892</Characters>
  <Lines>57</Lines>
  <Paragraphs>16</Paragraphs>
  <TotalTime>0</TotalTime>
  <ScaleCrop>false</ScaleCrop>
  <LinksUpToDate>false</LinksUpToDate>
  <CharactersWithSpaces>8085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2020-10-18T06:57:00Z</dcterms:created>
  <dc:creator>微软用户</dc:creator>
  <cp:lastModifiedBy>肖新龙</cp:lastModifiedBy>
  <dcterms:modified xsi:type="dcterms:W3CDTF">2022-02-19T14:07:51Z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656F192163AD413AA9032B24FA234031</vt:lpwstr>
  </property>
</Properties>
</file>