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厦门合利成环保科技有限公司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厦门火炬高新区（翔安）产业区翔明路26号第三层302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厦门火炬高新区（翔安）产业区翔明路26号第三层302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林爱梅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15980896871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陈成吉（总经理）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ccj20130101@126.com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0024-2021-F-2022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第一次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位于厦门火炬高新区（翔安）产业区翔明路26号第三层302的塑料一次性餐具（PS/PP/PET)的生产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I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2022年02月14日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>14：00</w:t>
            </w:r>
            <w:r>
              <w:rPr>
                <w:rFonts w:hint="eastAsia"/>
                <w:b/>
                <w:sz w:val="20"/>
              </w:rPr>
              <w:t>至2022年02月15日 上午</w:t>
            </w:r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12:00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2022-02-07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8"/>
      </w:pPr>
    </w:p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03"/>
        <w:gridCol w:w="4210"/>
        <w:gridCol w:w="175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部门</w:t>
            </w:r>
          </w:p>
        </w:tc>
        <w:tc>
          <w:tcPr>
            <w:tcW w:w="4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过程</w:t>
            </w:r>
          </w:p>
        </w:tc>
        <w:tc>
          <w:tcPr>
            <w:tcW w:w="17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2022-02-14下午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14:00-14:30</w:t>
            </w:r>
          </w:p>
        </w:tc>
        <w:tc>
          <w:tcPr>
            <w:tcW w:w="1003" w:type="dxa"/>
            <w:shd w:val="clear" w:color="auto" w:fill="FFFFFF" w:themeFill="background1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210" w:type="dxa"/>
            <w:shd w:val="clear" w:color="auto" w:fill="FFFFFF" w:themeFill="background1"/>
          </w:tcPr>
          <w:p>
            <w:pPr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758" w:type="dxa"/>
            <w:shd w:val="clear" w:color="auto" w:fill="FFFFFF" w:themeFill="background1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14:30-15:30</w:t>
            </w:r>
          </w:p>
        </w:tc>
        <w:tc>
          <w:tcPr>
            <w:tcW w:w="100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领导层</w:t>
            </w:r>
          </w:p>
        </w:tc>
        <w:tc>
          <w:tcPr>
            <w:tcW w:w="421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组织</w:t>
            </w:r>
            <w:r>
              <w:rPr>
                <w:color w:val="auto"/>
                <w:sz w:val="21"/>
                <w:szCs w:val="21"/>
              </w:rPr>
              <w:t>内外部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环境</w:t>
            </w:r>
            <w:r>
              <w:rPr>
                <w:color w:val="auto"/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绩效评价、持续改进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初审不符合项验证、</w:t>
            </w:r>
            <w:r>
              <w:rPr>
                <w:color w:val="auto"/>
                <w:sz w:val="21"/>
                <w:szCs w:val="21"/>
              </w:rPr>
              <w:t>重大投诉处理、重大体系事故和变更管理、顾客反馈、产品召回、行业抽查情况、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资质变更情况等</w:t>
            </w:r>
          </w:p>
        </w:tc>
        <w:tc>
          <w:tcPr>
            <w:tcW w:w="175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1003" w:type="dxa"/>
            <w:shd w:val="clear" w:color="auto" w:fill="auto"/>
          </w:tcPr>
          <w:p>
            <w:pPr>
              <w:jc w:val="left"/>
              <w:rPr>
                <w:color w:val="auto"/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color w:val="auto"/>
                <w:kern w:val="10"/>
                <w:sz w:val="21"/>
                <w:szCs w:val="21"/>
                <w:lang w:val="en-US" w:eastAsia="zh-CN"/>
              </w:rPr>
              <w:t>食品安全</w:t>
            </w:r>
            <w:r>
              <w:rPr>
                <w:color w:val="auto"/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421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食品安小组及职责、</w:t>
            </w:r>
            <w:r>
              <w:rPr>
                <w:rFonts w:ascii="CIDFont" w:hAnsi="CIDFont" w:eastAsia="CIDFont" w:cs="CIDFont"/>
                <w:color w:val="auto"/>
                <w:kern w:val="0"/>
                <w:sz w:val="21"/>
                <w:szCs w:val="21"/>
                <w:lang w:val="en-US" w:eastAsia="zh-CN" w:bidi="ar"/>
              </w:rPr>
              <w:t>外部开发的食品安全管理体系要素</w:t>
            </w:r>
            <w:r>
              <w:rPr>
                <w:rFonts w:hint="eastAsia" w:ascii="CIDFont" w:hAnsi="CIDFont" w:eastAsia="CIDFont" w:cs="CIDFont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color w:val="auto"/>
                <w:sz w:val="21"/>
                <w:szCs w:val="21"/>
              </w:rPr>
              <w:t>前提方案、实施危害分析的预备步骤、危害分析、操作性前提方案(PRPs)的建立、HACCP计划的建立、预备信息的更新、规定前提方案和HACCP计划文件的更新、验证策划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控制措施组合的确认、食品安全管理体系的验证及结果分析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分析和评估、食品安全管理体系的更新</w:t>
            </w:r>
          </w:p>
        </w:tc>
        <w:tc>
          <w:tcPr>
            <w:tcW w:w="17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.3/</w:t>
            </w:r>
            <w:r>
              <w:rPr>
                <w:rFonts w:hint="eastAsia"/>
                <w:color w:val="auto"/>
                <w:sz w:val="21"/>
                <w:szCs w:val="21"/>
              </w:rPr>
              <w:t>7.1.5/</w:t>
            </w:r>
            <w:r>
              <w:rPr>
                <w:color w:val="auto"/>
                <w:sz w:val="21"/>
                <w:szCs w:val="21"/>
              </w:rPr>
              <w:t>8.1/8.2/8.5/8.6/8.8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17:00-18:00</w:t>
            </w:r>
          </w:p>
        </w:tc>
        <w:tc>
          <w:tcPr>
            <w:tcW w:w="100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42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color w:val="auto"/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、工作环境控制、(PRPs)前提方案及现场情况、操作性前提方案、关键控制点的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实施</w:t>
            </w:r>
            <w:r>
              <w:rPr>
                <w:color w:val="auto"/>
                <w:sz w:val="21"/>
                <w:szCs w:val="21"/>
              </w:rPr>
              <w:t>、可追溯性系统、产品的撤回/召回、标识和可追溯性系统/计划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F:5.3/6.2/7.1.3/7.1.4/8.2/8.3/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8.4/8.5.4.5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18:00</w:t>
            </w:r>
          </w:p>
        </w:tc>
        <w:tc>
          <w:tcPr>
            <w:tcW w:w="100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第一天审核结束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2022-02-15上午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第二天上午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4210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color w:val="auto"/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、工作环境控制、(PRPs)前提方案及现场情况、操作性前提方案、关键控制点的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实施</w:t>
            </w:r>
            <w:r>
              <w:rPr>
                <w:color w:val="auto"/>
                <w:sz w:val="21"/>
                <w:szCs w:val="21"/>
              </w:rPr>
              <w:t>、可追溯性系统、产品的撤回/召回、标识和可追溯性系统/计划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应急准备和响应——继续审核</w:t>
            </w:r>
          </w:p>
        </w:tc>
        <w:tc>
          <w:tcPr>
            <w:tcW w:w="1758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F:5.3/6.2/7.1.3/7.1.4/8.2/8.3/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8.4/8.5.4.5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1"/>
                <w:szCs w:val="21"/>
                <w:lang w:val="en-US" w:eastAsia="zh-CN"/>
              </w:rPr>
              <w:t>质管部及现场</w:t>
            </w:r>
          </w:p>
        </w:tc>
        <w:tc>
          <w:tcPr>
            <w:tcW w:w="4210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目标、职责</w:t>
            </w:r>
            <w:r>
              <w:rPr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测量资源管理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操作性前提方案（原材料采购及验收）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color w:val="auto"/>
                <w:sz w:val="21"/>
                <w:szCs w:val="21"/>
              </w:rPr>
              <w:t>关键控制点的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监视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、产品放行/单项验证及结果评价、不合格品处理、验证结果分析和评价</w:t>
            </w:r>
          </w:p>
        </w:tc>
        <w:tc>
          <w:tcPr>
            <w:tcW w:w="1758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F:5.3/6.2/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8.5.4.5/8.7/8.8/8.9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1003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42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目标、</w:t>
            </w:r>
            <w:r>
              <w:rPr>
                <w:color w:val="auto"/>
                <w:sz w:val="21"/>
                <w:szCs w:val="21"/>
              </w:rPr>
              <w:t>职责、文件和记录管理；内外部沟通、人员健康管理、持证上岗人员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</w:rPr>
              <w:t>、人员招聘、员工培训及有效性评价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外部提供的过程产品和服务的控制、</w:t>
            </w:r>
            <w:r>
              <w:rPr>
                <w:color w:val="auto"/>
                <w:sz w:val="21"/>
                <w:szCs w:val="21"/>
              </w:rPr>
              <w:t>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不合格和纠正措施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5.3/6.2/7.1.2/7.1.6/7.2/7.3/7.4/7.5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/9.2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00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</w:t>
            </w:r>
            <w:r>
              <w:rPr>
                <w:color w:val="auto"/>
                <w:sz w:val="21"/>
                <w:szCs w:val="21"/>
              </w:rPr>
              <w:t>会议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00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审核结束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bookmarkStart w:id="33" w:name="_GoBack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33"/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1F64828"/>
    <w:rsid w:val="61EA6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2022-02-19T14:07:54Z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