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8959B27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  <w:lang w:val="en-US" w:eastAsia="zh-CN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东方交联电力电缆有限公司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2025年09月20日下午至2025年09月21日下午</w:t>
      </w: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897954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107098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632661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688625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584958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82893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727758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562473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441846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026057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868904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513129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951230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327711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李凤娟</w:t>
            </w:r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34D5C50A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14:paraId="260079F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14:paraId="74151A74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14:paraId="42922D9C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14:paraId="6F9977F9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53B0D0D0">
      <w:pPr>
        <w:pStyle w:val="a"/>
        <w:rPr>
          <w:rFonts w:ascii="宋体" w:eastAsia="宋体" w:hAnsi="宋体" w:hint="default"/>
          <w:sz w:val="24"/>
          <w:szCs w:val="24"/>
          <w:u w:val="single"/>
          <w:lang w:val="en-US" w:eastAsia="zh-CN"/>
        </w:rPr>
      </w:pPr>
      <w:r>
        <w:rPr>
          <w:rFonts w:ascii="宋体" w:eastAsia="宋体" w:hAnsi="宋体" w:hint="eastAsia"/>
          <w:sz w:val="24"/>
          <w:szCs w:val="24"/>
          <w:u w:val="single"/>
          <w:lang w:val="en-US" w:eastAsia="zh-CN"/>
        </w:rPr>
        <w:t>说明：《审核记录表》中，重点对下面《绩效检查评价表》中未涉及到的条款进行审核描述。比如5.1领导作用与承诺；6.1.1风险和机遇的确认；6.1.2绿色属性；9.1.2合规性评价9.2内审9.3管理评审10.2不合格和纠正措施10.4突破型变更10.5创新与重组及领导访谈等内容</w:t>
      </w:r>
    </w:p>
    <w:p w14:paraId="2331102E">
      <w:pPr>
        <w:spacing w:line="360" w:lineRule="auto"/>
        <w:jc w:val="center"/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  <w:lang w:val="en-US" w:eastAsia="zh-CN"/>
        </w:rPr>
        <w:t>项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  <w:t>检查表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9"/>
        <w:gridCol w:w="1685"/>
        <w:gridCol w:w="4936"/>
        <w:gridCol w:w="4239"/>
      </w:tblGrid>
      <w:tr w14:paraId="243304B7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9" w:type="dxa"/>
            <w:vAlign w:val="center"/>
          </w:tcPr>
          <w:p w14:paraId="70EF0311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内容</w:t>
            </w:r>
          </w:p>
        </w:tc>
        <w:tc>
          <w:tcPr>
            <w:tcW w:w="1685" w:type="dxa"/>
            <w:vAlign w:val="center"/>
          </w:tcPr>
          <w:p w14:paraId="5D5C6D0A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类型</w:t>
            </w:r>
          </w:p>
        </w:tc>
        <w:tc>
          <w:tcPr>
            <w:tcW w:w="4936" w:type="dxa"/>
            <w:vAlign w:val="center"/>
          </w:tcPr>
          <w:p w14:paraId="35BA8B3E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审核要求</w:t>
            </w:r>
          </w:p>
        </w:tc>
        <w:tc>
          <w:tcPr>
            <w:tcW w:w="4239" w:type="dxa"/>
            <w:vAlign w:val="center"/>
          </w:tcPr>
          <w:p w14:paraId="266C3BFC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审核结果</w:t>
            </w:r>
          </w:p>
        </w:tc>
      </w:tr>
      <w:tr w14:paraId="17177C1E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14:paraId="7C07E246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申请组织是否守法达标,近1年内应未受过质量、安全、环保方面的处罚?</w:t>
            </w:r>
          </w:p>
          <w:p w14:paraId="35148CB7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1C9103F0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基本项</w:t>
            </w:r>
          </w:p>
        </w:tc>
        <w:tc>
          <w:tcPr>
            <w:tcW w:w="4936" w:type="dxa"/>
            <w:vAlign w:val="center"/>
          </w:tcPr>
          <w:p w14:paraId="026A02A8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是,继续进行评价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lang w:val="en-US" w:eastAsia="zh-CN"/>
              </w:rPr>
              <w:t>；</w:t>
            </w:r>
          </w:p>
        </w:tc>
        <w:tc>
          <w:tcPr>
            <w:tcW w:w="4239" w:type="dxa"/>
            <w:vAlign w:val="center"/>
          </w:tcPr>
          <w:p w14:paraId="061FA579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满足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不满足</w:t>
            </w:r>
          </w:p>
        </w:tc>
      </w:tr>
      <w:tr w14:paraId="36A8F733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14:paraId="78D049F0">
            <w:pPr>
              <w:pStyle w:val="a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1685" w:type="dxa"/>
            <w:vMerge/>
            <w:vAlign w:val="center"/>
          </w:tcPr>
          <w:p w14:paraId="7056FFA4">
            <w:pPr>
              <w:pStyle w:val="a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4936" w:type="dxa"/>
            <w:vAlign w:val="center"/>
          </w:tcPr>
          <w:p w14:paraId="5EFED08F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近1年内受过环保处罚，不予受理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4239" w:type="dxa"/>
            <w:vAlign w:val="center"/>
          </w:tcPr>
          <w:p w14:paraId="5D9C79C4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lang w:val="en-US" w:eastAsia="zh-CN"/>
              </w:rPr>
              <w:t>记录处罚内容：</w:t>
            </w:r>
          </w:p>
        </w:tc>
      </w:tr>
      <w:tr w14:paraId="38E1577C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14:paraId="6E3D1B0B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是否建立绿色供应链管理的措施并有效实施?</w:t>
            </w:r>
          </w:p>
          <w:p w14:paraId="4377D6F4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0488F671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基本项</w:t>
            </w:r>
          </w:p>
        </w:tc>
        <w:tc>
          <w:tcPr>
            <w:tcW w:w="4936" w:type="dxa"/>
            <w:vAlign w:val="center"/>
          </w:tcPr>
          <w:p w14:paraId="67B2FE06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建有管理措施并有效实施,完成设定的目标</w:t>
            </w:r>
          </w:p>
        </w:tc>
        <w:tc>
          <w:tcPr>
            <w:tcW w:w="4239" w:type="dxa"/>
            <w:vMerge w:val="restart"/>
            <w:vAlign w:val="center"/>
          </w:tcPr>
          <w:p w14:paraId="7A705A55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满足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不满足</w:t>
            </w:r>
          </w:p>
        </w:tc>
      </w:tr>
      <w:tr w14:paraId="3825E52A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14:paraId="5D6B5477">
            <w:pPr>
              <w:pStyle w:val="a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1685" w:type="dxa"/>
            <w:vMerge/>
            <w:vAlign w:val="center"/>
          </w:tcPr>
          <w:p w14:paraId="4AEFE108">
            <w:pPr>
              <w:pStyle w:val="a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4936" w:type="dxa"/>
            <w:vAlign w:val="center"/>
          </w:tcPr>
          <w:p w14:paraId="32BA96A4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未建立管理措施,不予受理</w:t>
            </w:r>
          </w:p>
          <w:p w14:paraId="6FF7D250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39" w:type="dxa"/>
            <w:vMerge/>
            <w:vAlign w:val="center"/>
          </w:tcPr>
          <w:p w14:paraId="23C167B6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865611D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14:paraId="4AC58261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是否建立并保持文件化的文件和资料的控制程序，对相关记录的保存期限应有文件规定?</w:t>
            </w:r>
          </w:p>
          <w:p w14:paraId="64CA17A2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43840A42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基本项</w:t>
            </w:r>
          </w:p>
        </w:tc>
        <w:tc>
          <w:tcPr>
            <w:tcW w:w="4936" w:type="dxa"/>
            <w:vAlign w:val="center"/>
          </w:tcPr>
          <w:p w14:paraId="3AAEEA95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建立文件和资料控制程序，并保留1年以上</w:t>
            </w:r>
          </w:p>
        </w:tc>
        <w:tc>
          <w:tcPr>
            <w:tcW w:w="4239" w:type="dxa"/>
            <w:vMerge w:val="restart"/>
            <w:vAlign w:val="center"/>
          </w:tcPr>
          <w:p w14:paraId="63C8D21C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满足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不满足</w:t>
            </w:r>
          </w:p>
        </w:tc>
      </w:tr>
      <w:tr w14:paraId="55652D37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14:paraId="4D451634">
            <w:pPr>
              <w:pStyle w:val="a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1685" w:type="dxa"/>
            <w:vMerge/>
            <w:vAlign w:val="center"/>
          </w:tcPr>
          <w:p w14:paraId="45D19392">
            <w:pPr>
              <w:pStyle w:val="a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4936" w:type="dxa"/>
            <w:vAlign w:val="center"/>
          </w:tcPr>
          <w:p w14:paraId="61DB3E75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14:paraId="5BF582D9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 w14:paraId="27EEBB89">
      <w:pPr>
        <w:pStyle w:val="a"/>
        <w:rPr>
          <w:rFonts w:ascii="宋体" w:eastAsia="宋体" w:hAnsi="宋体" w:hint="default"/>
          <w:sz w:val="24"/>
          <w:szCs w:val="24"/>
          <w:u w:val="single"/>
          <w:lang w:val="en-US" w:eastAsia="zh-CN"/>
        </w:rPr>
      </w:pPr>
    </w:p>
    <w:p w14:paraId="28554B5A">
      <w:pPr>
        <w:pStyle w:val="a"/>
        <w:jc w:val="center"/>
        <w:rPr>
          <w:rFonts w:ascii="宋体" w:eastAsia="宋体" w:hAnsi="宋体" w:hint="default"/>
          <w:sz w:val="24"/>
          <w:szCs w:val="24"/>
          <w:u w:val="single"/>
          <w:lang w:val="en-US" w:eastAsia="zh-CN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  <w:lang w:val="en-US" w:eastAsia="zh-CN"/>
        </w:rPr>
        <w:t>管理绩效和运行绩效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  <w:lang w:val="en-US" w:eastAsia="zh-CN"/>
        </w:rPr>
        <w:t>评价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  <w:t>表</w:t>
      </w:r>
    </w:p>
    <w:p w14:paraId="7D4E7EF3">
      <w:pPr>
        <w:pStyle w:val="a"/>
        <w:rPr>
          <w:rFonts w:ascii="宋体" w:eastAsia="宋体" w:hAnsi="宋体" w:hint="default"/>
          <w:sz w:val="24"/>
          <w:szCs w:val="24"/>
          <w:u w:val="single"/>
          <w:lang w:val="en-US" w:eastAsia="zh-CN"/>
        </w:rPr>
      </w:pPr>
      <w:r>
        <w:rPr>
          <w:rFonts w:ascii="宋体" w:eastAsia="宋体" w:hAnsi="宋体" w:hint="eastAsia"/>
          <w:sz w:val="24"/>
          <w:szCs w:val="24"/>
          <w:u w:val="single"/>
          <w:lang w:val="en-US" w:eastAsia="zh-CN"/>
        </w:rPr>
        <w:t xml:space="preserve">审核员：             </w:t>
      </w:r>
      <w:bookmarkStart w:id="4" w:name="_GoBack"/>
      <w:bookmarkEnd w:id="4"/>
    </w:p>
    <w:tbl>
      <w:tblPr>
        <w:tblStyle w:val="TableGrid"/>
        <w:tblW w:w="141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 w14:paraId="1E328578">
        <w:tblPrEx>
          <w:tblW w:w="14111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  <w:tblHeader/>
        </w:trPr>
        <w:tc>
          <w:tcPr>
            <w:tcW w:w="688" w:type="dxa"/>
          </w:tcPr>
          <w:p w14:paraId="78358A21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89" w:type="dxa"/>
          </w:tcPr>
          <w:p w14:paraId="510F0EEB">
            <w:pPr>
              <w:jc w:val="center"/>
              <w:rPr>
                <w:rFonts w:ascii="宋体" w:eastAsia="宋体" w:hAnsi="宋体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val="en-US" w:eastAsia="zh-CN"/>
              </w:rPr>
              <w:t>分类</w:t>
            </w:r>
          </w:p>
        </w:tc>
        <w:tc>
          <w:tcPr>
            <w:tcW w:w="1189" w:type="dxa"/>
          </w:tcPr>
          <w:p w14:paraId="6D7E37F7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一级指标</w:t>
            </w:r>
          </w:p>
        </w:tc>
        <w:tc>
          <w:tcPr>
            <w:tcW w:w="817" w:type="dxa"/>
          </w:tcPr>
          <w:p w14:paraId="15556D3B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权重</w:t>
            </w:r>
          </w:p>
        </w:tc>
        <w:tc>
          <w:tcPr>
            <w:tcW w:w="1586" w:type="dxa"/>
          </w:tcPr>
          <w:p w14:paraId="008B278B">
            <w:pPr>
              <w:jc w:val="center"/>
              <w:rPr>
                <w:rFonts w:ascii="宋体" w:eastAsia="宋体" w:hAnsi="宋体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val="en-US" w:eastAsia="zh-CN"/>
              </w:rPr>
              <w:t>对应条款及二级指标</w:t>
            </w:r>
          </w:p>
        </w:tc>
        <w:tc>
          <w:tcPr>
            <w:tcW w:w="808" w:type="dxa"/>
          </w:tcPr>
          <w:p w14:paraId="15935FE0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3887" w:type="dxa"/>
          </w:tcPr>
          <w:p w14:paraId="29A5B5E7">
            <w:pPr>
              <w:jc w:val="center"/>
              <w:rPr>
                <w:rFonts w:ascii="宋体" w:eastAsia="宋体" w:hAnsi="宋体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val="en-US" w:eastAsia="zh-CN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val="en-US" w:eastAsia="zh-CN"/>
              </w:rPr>
              <w:t>点（可根据企业情况增加）</w:t>
            </w:r>
          </w:p>
        </w:tc>
        <w:tc>
          <w:tcPr>
            <w:tcW w:w="3238" w:type="dxa"/>
          </w:tcPr>
          <w:p w14:paraId="63A33342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符合性说明</w:t>
            </w:r>
          </w:p>
        </w:tc>
        <w:tc>
          <w:tcPr>
            <w:tcW w:w="709" w:type="dxa"/>
          </w:tcPr>
          <w:p w14:paraId="7EBD96CC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得分</w:t>
            </w:r>
          </w:p>
        </w:tc>
      </w:tr>
      <w:tr w14:paraId="21D02F58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6231A23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14:paraId="00C88E4E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14:paraId="04477CF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14:paraId="6256D25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14:paraId="412BE2DC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5.1、5.2、6.2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绿色发展规划、目标 X101</w:t>
            </w:r>
          </w:p>
          <w:p w14:paraId="5A3CB9F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8" w:type="dxa"/>
            <w:vAlign w:val="center"/>
          </w:tcPr>
          <w:p w14:paraId="404258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20分</w:t>
            </w:r>
          </w:p>
        </w:tc>
        <w:tc>
          <w:tcPr>
            <w:tcW w:w="3887" w:type="dxa"/>
          </w:tcPr>
          <w:p w14:paraId="12D955F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将绿色发展战略纳入企业规划，制定３年～５年供应链绿色提升目标，确定每一年的分目标，如： </w:t>
            </w:r>
          </w:p>
          <w:p w14:paraId="29025D7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●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绿色供应链方针或领导承诺</w:t>
            </w:r>
            <w:r>
              <w:rPr>
                <w:rFonts w:ascii="宋体" w:eastAsia="宋体" w:hAnsi="宋体"/>
                <w:sz w:val="21"/>
                <w:szCs w:val="21"/>
              </w:rPr>
              <w:t>；</w:t>
            </w:r>
          </w:p>
          <w:p w14:paraId="4498609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●绿色供应链提升目标（尽可能量化） </w:t>
            </w:r>
          </w:p>
        </w:tc>
        <w:tc>
          <w:tcPr>
            <w:tcW w:w="3238" w:type="dxa"/>
          </w:tcPr>
          <w:p w14:paraId="4983016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7005443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11DB52D1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68A27662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14:paraId="51EBAD4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56A2406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8AD3A1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7B51E6A7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4、6.1.2.2、7.5</w:t>
            </w:r>
          </w:p>
          <w:p w14:paraId="1DDEC393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绿色供应链管理体系 X102</w:t>
            </w:r>
          </w:p>
          <w:p w14:paraId="797E546D">
            <w:pPr>
              <w:pStyle w:val="a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4F4C80C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30分</w:t>
            </w:r>
          </w:p>
        </w:tc>
        <w:tc>
          <w:tcPr>
            <w:tcW w:w="3887" w:type="dxa"/>
          </w:tcPr>
          <w:p w14:paraId="2B07708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14:paraId="6C0880B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●产品绿色设计；</w:t>
            </w:r>
          </w:p>
          <w:p w14:paraId="6BDE59C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●绿色采购；</w:t>
            </w:r>
          </w:p>
          <w:p w14:paraId="26FE3E0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●绿色生产；</w:t>
            </w:r>
          </w:p>
          <w:p w14:paraId="4CBEA00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●绿色物流；</w:t>
            </w:r>
          </w:p>
          <w:p w14:paraId="12BF91C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●绿色回收及末端处置；</w:t>
            </w:r>
          </w:p>
          <w:p w14:paraId="2AABC4D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14:paraId="78E1D81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021E1E3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46816084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4BE272D0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14:paraId="7975D1D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6813F6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60EA285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0AF4702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5.3、7.1、7.2、7.3</w:t>
            </w:r>
          </w:p>
          <w:p w14:paraId="56B4B2A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机</w:t>
            </w:r>
            <w:r>
              <w:rPr>
                <w:rFonts w:ascii="宋体" w:eastAsia="宋体" w:hAnsi="宋体"/>
                <w:sz w:val="21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14:paraId="68E42A5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30分</w:t>
            </w:r>
          </w:p>
        </w:tc>
        <w:tc>
          <w:tcPr>
            <w:tcW w:w="3887" w:type="dxa"/>
          </w:tcPr>
          <w:p w14:paraId="4A78016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建立有效的组织机构（或对现有机构及资源进行整合），满足绿色供应链管理需要。提供必要的人力、财力、设备、信息及知识等资源，以保障机构的有效运行；明确绿色供应链管理相关部门、人员和职责 </w:t>
            </w:r>
          </w:p>
        </w:tc>
        <w:tc>
          <w:tcPr>
            <w:tcW w:w="3238" w:type="dxa"/>
          </w:tcPr>
          <w:p w14:paraId="521AC03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710CE08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18A40059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/>
        </w:trPr>
        <w:tc>
          <w:tcPr>
            <w:tcW w:w="688" w:type="dxa"/>
          </w:tcPr>
          <w:p w14:paraId="48E27169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14:paraId="63FC597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</w:tcPr>
          <w:p w14:paraId="4F84F2F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</w:tcPr>
          <w:p w14:paraId="7C2A10A4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6C38F044">
            <w:pPr>
              <w:jc w:val="left"/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10.1、10.3</w:t>
            </w:r>
          </w:p>
          <w:p w14:paraId="524A1CD2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14:paraId="13D824E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20分</w:t>
            </w:r>
          </w:p>
        </w:tc>
        <w:tc>
          <w:tcPr>
            <w:tcW w:w="3887" w:type="dxa"/>
          </w:tcPr>
          <w:p w14:paraId="2F3BD74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14:paraId="447FE9C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115DAAF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4F9D1AD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/>
        </w:trPr>
        <w:tc>
          <w:tcPr>
            <w:tcW w:w="688" w:type="dxa"/>
          </w:tcPr>
          <w:p w14:paraId="7D284BF6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14:paraId="41A16E9C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14:paraId="33776FC7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8.1、8.2、</w:t>
            </w:r>
          </w:p>
          <w:p w14:paraId="2220EF7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14:paraId="692EDFD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14:paraId="4A235B5E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8.1、8.2、</w:t>
            </w:r>
          </w:p>
          <w:p w14:paraId="139CB8B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14:paraId="77BD4A5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3887" w:type="dxa"/>
          </w:tcPr>
          <w:p w14:paraId="4C58BCC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产品进行绿色设计或对现有产品进行绿色改进设计。提高产品绿色性（如资源消耗、环境排放、有害物质使用、回收利用性等）；产品满足相关方绿色性要求（来自标准、采购方或其他相关方） </w:t>
            </w:r>
          </w:p>
        </w:tc>
        <w:tc>
          <w:tcPr>
            <w:tcW w:w="3238" w:type="dxa"/>
          </w:tcPr>
          <w:p w14:paraId="7800B95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1680BC8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3716CE2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0D028B0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14:paraId="12E15BA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5847097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2A1606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4DFE3AC6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8.2</w:t>
            </w:r>
          </w:p>
          <w:p w14:paraId="63DB267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工艺绿色设计Ｘ２０２</w:t>
            </w:r>
          </w:p>
        </w:tc>
        <w:tc>
          <w:tcPr>
            <w:tcW w:w="808" w:type="dxa"/>
          </w:tcPr>
          <w:p w14:paraId="27F1C35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3887" w:type="dxa"/>
          </w:tcPr>
          <w:p w14:paraId="7718F19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工艺技术、流程及工艺设备进行绿色属性识别和核查，针对重点问题进行工艺优化和改进</w:t>
            </w:r>
          </w:p>
        </w:tc>
        <w:tc>
          <w:tcPr>
            <w:tcW w:w="3238" w:type="dxa"/>
          </w:tcPr>
          <w:p w14:paraId="1FEC054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5F390D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0DAABD44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7D5B8F6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189" w:type="dxa"/>
            <w:vMerge/>
            <w:vAlign w:val="center"/>
          </w:tcPr>
          <w:p w14:paraId="4ADDCB0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62C128E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19B52FA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7EA5C3F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包装</w:t>
            </w:r>
            <w:r>
              <w:rPr>
                <w:rFonts w:ascii="宋体" w:eastAsia="宋体" w:hAnsi="宋体"/>
                <w:sz w:val="21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203</w:t>
            </w:r>
          </w:p>
        </w:tc>
        <w:tc>
          <w:tcPr>
            <w:tcW w:w="808" w:type="dxa"/>
          </w:tcPr>
          <w:p w14:paraId="3608124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43F8E98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14:paraId="532D312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75D9152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0B334966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049CB91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14:paraId="660CF51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29257A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F26209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01692B5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6.1.2.1</w:t>
            </w:r>
            <w:r>
              <w:rPr>
                <w:rFonts w:ascii="宋体" w:eastAsia="宋体" w:hAnsi="宋体"/>
                <w:sz w:val="21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204</w:t>
            </w:r>
          </w:p>
        </w:tc>
        <w:tc>
          <w:tcPr>
            <w:tcW w:w="808" w:type="dxa"/>
          </w:tcPr>
          <w:p w14:paraId="2FFCBEB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3887" w:type="dxa"/>
          </w:tcPr>
          <w:p w14:paraId="41F0BEE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14:paraId="2BAF5B5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78FB588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63BF5A6B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414B82A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14:paraId="591F9DD2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1255165D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8.1、8.3</w:t>
            </w:r>
          </w:p>
          <w:p w14:paraId="5901DBC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14:paraId="671835C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14:paraId="64C9ABD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14:paraId="3075FEF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887" w:type="dxa"/>
          </w:tcPr>
          <w:p w14:paraId="018986B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制定系统的绿色供应商选择原则及绿色供应商评估、监督、业绩评价管理程序，形成标准或管理制度文件对供应商进行风险评估，根据风险评估结果 </w:t>
            </w:r>
          </w:p>
        </w:tc>
        <w:tc>
          <w:tcPr>
            <w:tcW w:w="3238" w:type="dxa"/>
          </w:tcPr>
          <w:p w14:paraId="774C481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4DB0278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463CDF7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724E1F9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14:paraId="3E2B63F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1A0601F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2BA5A70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4D48F7EF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8.1、8.3</w:t>
            </w:r>
          </w:p>
          <w:p w14:paraId="66CC17E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求X302</w:t>
            </w:r>
          </w:p>
        </w:tc>
        <w:tc>
          <w:tcPr>
            <w:tcW w:w="808" w:type="dxa"/>
            <w:vAlign w:val="center"/>
          </w:tcPr>
          <w:p w14:paraId="42AF53C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887" w:type="dxa"/>
          </w:tcPr>
          <w:p w14:paraId="660B252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14:paraId="63ED5332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794B4D2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2D296B4E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5D8A570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14:paraId="6E99C647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0C8FA3F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58FBF9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611012D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14:paraId="3B4D190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1C2119D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14:paraId="2321745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0A330D1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7B080D4A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1E3EFDE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14:paraId="28C691C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78E27057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96E102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5BA74F1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14:paraId="120A679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16F1159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对供应商实施分类管理 对合格供应商定期审核监督，推动供应商持续改进</w:t>
            </w:r>
          </w:p>
        </w:tc>
        <w:tc>
          <w:tcPr>
            <w:tcW w:w="3238" w:type="dxa"/>
          </w:tcPr>
          <w:p w14:paraId="074977A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34FA379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55A40A7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553E4FC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14:paraId="1F85C18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78D6AD8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267AC6B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1EA6B97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8.6</w:t>
            </w:r>
            <w:r>
              <w:rPr>
                <w:rFonts w:ascii="宋体" w:eastAsia="宋体" w:hAnsi="宋体"/>
                <w:sz w:val="21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监督X305</w:t>
            </w:r>
          </w:p>
        </w:tc>
        <w:tc>
          <w:tcPr>
            <w:tcW w:w="808" w:type="dxa"/>
            <w:vAlign w:val="center"/>
          </w:tcPr>
          <w:p w14:paraId="578FA65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2314F70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对供应商定期进行绿色绩效评价，如： </w:t>
            </w:r>
          </w:p>
          <w:p w14:paraId="7C8E634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●产品绿色化程度； </w:t>
            </w:r>
          </w:p>
          <w:p w14:paraId="4F59F94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●生产过程绿色化程度； </w:t>
            </w:r>
          </w:p>
          <w:p w14:paraId="73B91F6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●生产变更情况； </w:t>
            </w:r>
          </w:p>
          <w:p w14:paraId="5C0B2D8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●审核监督与改进； </w:t>
            </w:r>
          </w:p>
          <w:p w14:paraId="05DD82A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●异常事件与整改； </w:t>
            </w:r>
          </w:p>
          <w:p w14:paraId="2B9D5BB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●管理过程综合评价等</w:t>
            </w:r>
          </w:p>
        </w:tc>
        <w:tc>
          <w:tcPr>
            <w:tcW w:w="3238" w:type="dxa"/>
          </w:tcPr>
          <w:p w14:paraId="7C87576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3FD2E64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2F90E8B0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36DAB0C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1189" w:type="dxa"/>
            <w:vMerge w:val="restart"/>
            <w:vAlign w:val="center"/>
          </w:tcPr>
          <w:p w14:paraId="76DD700E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14:paraId="73A3A6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63CA7C0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ADD333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8.6</w:t>
            </w:r>
            <w:r>
              <w:rPr>
                <w:rFonts w:ascii="宋体" w:eastAsia="宋体" w:hAnsi="宋体"/>
                <w:sz w:val="21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14:paraId="1AF32D5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415F3A4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14:paraId="5D156C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171E9A7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028CEC69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0C50430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14:paraId="01F52F9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018EB8A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1C6D52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034BD5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8.2</w:t>
            </w:r>
            <w:r>
              <w:rPr>
                <w:rFonts w:ascii="宋体" w:eastAsia="宋体" w:hAnsi="宋体"/>
                <w:sz w:val="21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应X307</w:t>
            </w:r>
          </w:p>
        </w:tc>
        <w:tc>
          <w:tcPr>
            <w:tcW w:w="808" w:type="dxa"/>
            <w:vAlign w:val="center"/>
          </w:tcPr>
          <w:p w14:paraId="575BE07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3887" w:type="dxa"/>
          </w:tcPr>
          <w:p w14:paraId="1A61762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14:paraId="47F37CE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0D4F183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7247B6F5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2C8A11F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14:paraId="7E95BFA4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1E1F44B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30062A57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60074B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7.5</w:t>
            </w:r>
            <w:r>
              <w:rPr>
                <w:rFonts w:ascii="宋体" w:eastAsia="宋体" w:hAnsi="宋体"/>
                <w:sz w:val="21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理X308</w:t>
            </w:r>
          </w:p>
        </w:tc>
        <w:tc>
          <w:tcPr>
            <w:tcW w:w="808" w:type="dxa"/>
            <w:vAlign w:val="center"/>
          </w:tcPr>
          <w:p w14:paraId="14C9CF5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887" w:type="dxa"/>
          </w:tcPr>
          <w:p w14:paraId="014CE2E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14:paraId="50F4609C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7E31679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7CB9331A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5D9EFE3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14:paraId="72E4D51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5359FF8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7BAB3F1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336E7CE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7.2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沟通与培训X309</w:t>
            </w:r>
          </w:p>
        </w:tc>
        <w:tc>
          <w:tcPr>
            <w:tcW w:w="808" w:type="dxa"/>
            <w:vAlign w:val="center"/>
          </w:tcPr>
          <w:p w14:paraId="6FF46C4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3887" w:type="dxa"/>
          </w:tcPr>
          <w:p w14:paraId="379788C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38" w:type="dxa"/>
          </w:tcPr>
          <w:p w14:paraId="0A7A4E4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33F98B4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54F625C9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/>
        </w:trPr>
        <w:tc>
          <w:tcPr>
            <w:tcW w:w="688" w:type="dxa"/>
            <w:vAlign w:val="center"/>
          </w:tcPr>
          <w:p w14:paraId="54935A7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14:paraId="6532A455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378D2A9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14:paraId="05B6070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14:paraId="28F9F1B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8.5</w:t>
            </w:r>
            <w:r>
              <w:rPr>
                <w:rFonts w:ascii="宋体" w:eastAsia="宋体" w:hAnsi="宋体"/>
                <w:sz w:val="21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X401</w:t>
            </w:r>
          </w:p>
        </w:tc>
        <w:tc>
          <w:tcPr>
            <w:tcW w:w="808" w:type="dxa"/>
          </w:tcPr>
          <w:p w14:paraId="125E568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887" w:type="dxa"/>
          </w:tcPr>
          <w:p w14:paraId="5435178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14:paraId="712892B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7D56A8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9F44CA6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369E681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14:paraId="1B7F165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530391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706EEF0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00777AF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6.1.2.1</w:t>
            </w:r>
            <w:r>
              <w:rPr>
                <w:rFonts w:ascii="宋体" w:eastAsia="宋体" w:hAnsi="宋体"/>
                <w:sz w:val="21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X402</w:t>
            </w:r>
          </w:p>
        </w:tc>
        <w:tc>
          <w:tcPr>
            <w:tcW w:w="808" w:type="dxa"/>
          </w:tcPr>
          <w:p w14:paraId="1228E5B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00F7952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14:paraId="4CD572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5C5D79F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64EC56A1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6DBC510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14:paraId="2A39BD8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2C5AF4C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E3B2FB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811216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污染</w:t>
            </w:r>
            <w:r>
              <w:rPr>
                <w:rFonts w:ascii="宋体" w:eastAsia="宋体" w:hAnsi="宋体"/>
                <w:sz w:val="21"/>
                <w:szCs w:val="21"/>
              </w:rPr>
              <w:t>物排放Ｘ４０３</w:t>
            </w:r>
          </w:p>
        </w:tc>
        <w:tc>
          <w:tcPr>
            <w:tcW w:w="808" w:type="dxa"/>
          </w:tcPr>
          <w:p w14:paraId="374AB8A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5117A50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及噪声数据，并 满足国家和地方的标准</w:t>
            </w:r>
          </w:p>
        </w:tc>
        <w:tc>
          <w:tcPr>
            <w:tcW w:w="3238" w:type="dxa"/>
          </w:tcPr>
          <w:p w14:paraId="01AD03A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3CADB9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5D8FF9B7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48E61CB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14:paraId="3191313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26BEDBA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58B4EC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50D4D8A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14:paraId="447CC2E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31F7C76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14:paraId="7094B4D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2CBC376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255753B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3CDDDB5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14:paraId="0F31268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396980E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6EEA39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47D39C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系统X405</w:t>
            </w:r>
          </w:p>
        </w:tc>
        <w:tc>
          <w:tcPr>
            <w:tcW w:w="808" w:type="dxa"/>
          </w:tcPr>
          <w:p w14:paraId="091C55B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4460E03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建立和健全用能计量系统，监测和记录生产过程中的能源及水资源消耗；</w:t>
            </w:r>
          </w:p>
          <w:p w14:paraId="100433C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14:paraId="5911353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1FA8293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6E4A05D8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5356E02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14:paraId="7CD81C5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14:paraId="2CF277E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249ECFE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74D4BA6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单位产品综合能耗Ｘ４０６</w:t>
            </w:r>
          </w:p>
        </w:tc>
        <w:tc>
          <w:tcPr>
            <w:tcW w:w="808" w:type="dxa"/>
          </w:tcPr>
          <w:p w14:paraId="25588A1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59AAA51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单位产品综合能耗符合相关国家、行业标准中的限额要求；</w:t>
            </w:r>
          </w:p>
          <w:p w14:paraId="4CE9115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14:paraId="349AE801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011D4FF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6DCC0A70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/>
        </w:trPr>
        <w:tc>
          <w:tcPr>
            <w:tcW w:w="688" w:type="dxa"/>
          </w:tcPr>
          <w:p w14:paraId="68237E2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1189" w:type="dxa"/>
            <w:vMerge/>
            <w:vAlign w:val="center"/>
          </w:tcPr>
          <w:p w14:paraId="7DDAD604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373FB7F7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ED43A4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533622D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14:paraId="3B5CEF5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887" w:type="dxa"/>
          </w:tcPr>
          <w:p w14:paraId="3DE4A07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开展节水评价工作，且满足行业取水定额要求 （如果有）</w:t>
            </w:r>
          </w:p>
        </w:tc>
        <w:tc>
          <w:tcPr>
            <w:tcW w:w="3238" w:type="dxa"/>
          </w:tcPr>
          <w:p w14:paraId="7DB20F6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33F837C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09127C0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0C8BC5E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14:paraId="408605DE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0C79B20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14:paraId="1D0A691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14:paraId="7638774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14:paraId="2171BB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36804FA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14:paraId="2234B95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6462008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06A43536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6DE2691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14:paraId="2FA1D2F7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6FA0F5C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1F235F0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C7C17F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8.4</w:t>
            </w:r>
            <w:r>
              <w:rPr>
                <w:rFonts w:ascii="宋体" w:eastAsia="宋体" w:hAnsi="宋体"/>
                <w:sz w:val="21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14:paraId="362CB7A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3887" w:type="dxa"/>
          </w:tcPr>
          <w:p w14:paraId="1D1F04C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14:paraId="5D31622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产品及包装物可回收的企业，建立逆向物料渠道和管理程序 </w:t>
            </w:r>
          </w:p>
        </w:tc>
        <w:tc>
          <w:tcPr>
            <w:tcW w:w="3238" w:type="dxa"/>
          </w:tcPr>
          <w:p w14:paraId="09455C5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0C25274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11BB933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41AD0BE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14:paraId="0D83AC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0359917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46492D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6E3530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14:paraId="7570147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35</w:t>
            </w:r>
          </w:p>
        </w:tc>
        <w:tc>
          <w:tcPr>
            <w:tcW w:w="3887" w:type="dxa"/>
          </w:tcPr>
          <w:p w14:paraId="05352CF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根据产品特性，如需要，制定保证产品完整性及防止有害物质泄漏的运输、储存要求，如：运输过程特殊要求，仓储环境条件要求（如：温度、湿度、光照等要素）等 </w:t>
            </w:r>
          </w:p>
        </w:tc>
        <w:tc>
          <w:tcPr>
            <w:tcW w:w="3238" w:type="dxa"/>
          </w:tcPr>
          <w:p w14:paraId="432DD43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46B614D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6B19ABBC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688" w:type="dxa"/>
          </w:tcPr>
          <w:p w14:paraId="587DBD0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14:paraId="6601ABF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1500469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789EE9F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19972BE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14:paraId="42876E1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235F33B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14:paraId="1FA9628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4BC0A31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468B8B7A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1286EDD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14:paraId="48F1798D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5E49F1E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14:paraId="63A05E5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14:paraId="7DEBBBC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回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收体系Ｘ６０１ </w:t>
            </w:r>
          </w:p>
        </w:tc>
        <w:tc>
          <w:tcPr>
            <w:tcW w:w="808" w:type="dxa"/>
          </w:tcPr>
          <w:p w14:paraId="6EE4593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0F7836B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14:paraId="398EB51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2ECF1F22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03BE21A9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61071FF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189" w:type="dxa"/>
            <w:vMerge w:val="restart"/>
            <w:vAlign w:val="center"/>
          </w:tcPr>
          <w:p w14:paraId="2418372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14:paraId="1D2C745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17678B1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50FC3A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下</w:t>
            </w:r>
            <w:r>
              <w:rPr>
                <w:rFonts w:ascii="宋体" w:eastAsia="宋体" w:hAnsi="宋体"/>
                <w:sz w:val="21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14:paraId="69704FE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11C0881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指导下游企业回收、拆解及再利用，建立产品及包装物回收拆解文件，并传递给下游相关方；</w:t>
            </w:r>
          </w:p>
          <w:p w14:paraId="1A04646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通过培训和现场辅导等方式提高零部件、原材料以及产品的回收率；</w:t>
            </w:r>
          </w:p>
          <w:p w14:paraId="0B319AC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14:paraId="0C22E8F1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0228AAF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5126990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08F3C28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14:paraId="25C454B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1C69775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39F6C4D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33B2F66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8.7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无害化处理Ｘ６０３ </w:t>
            </w:r>
          </w:p>
        </w:tc>
        <w:tc>
          <w:tcPr>
            <w:tcW w:w="808" w:type="dxa"/>
            <w:vAlign w:val="center"/>
          </w:tcPr>
          <w:p w14:paraId="3D90BE1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226370F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14:paraId="66A7CF9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5541954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4E40A34E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191B444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14:paraId="3A3A9EE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4C04F76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16D677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33A1760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回收利</w:t>
            </w:r>
            <w:r>
              <w:rPr>
                <w:rFonts w:ascii="宋体" w:eastAsia="宋体" w:hAnsi="宋体"/>
                <w:sz w:val="21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14:paraId="4CD4599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59E96B2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定期统计产品／包装物回收利用指标，如： </w:t>
            </w:r>
          </w:p>
          <w:p w14:paraId="2DCFEB5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●产品可回收利用率； </w:t>
            </w:r>
          </w:p>
          <w:p w14:paraId="429B75C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●实际回收利用率； </w:t>
            </w:r>
          </w:p>
          <w:p w14:paraId="65C08B1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●循环利用材料的使用率； </w:t>
            </w:r>
          </w:p>
          <w:p w14:paraId="7B65EA4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●材料利用率； </w:t>
            </w:r>
          </w:p>
          <w:p w14:paraId="299E4D7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●废品率等</w:t>
            </w:r>
          </w:p>
        </w:tc>
        <w:tc>
          <w:tcPr>
            <w:tcW w:w="3238" w:type="dxa"/>
          </w:tcPr>
          <w:p w14:paraId="714745CC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15B8452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929EA6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33027C8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14:paraId="45C8E65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5CACCE0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2F5C8B7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675E758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8.7</w:t>
            </w:r>
            <w:r>
              <w:rPr>
                <w:rFonts w:ascii="宋体" w:eastAsia="宋体" w:hAnsi="宋体"/>
                <w:sz w:val="21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14:paraId="41A75FC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78E9056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14:paraId="55F5CA0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C725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D381575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314B3CF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14:paraId="3D083E93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14:paraId="0ACC0637">
            <w:pPr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7.4、8.8</w:t>
            </w:r>
          </w:p>
          <w:p w14:paraId="133F526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14:paraId="6DD6D81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14:paraId="693525AC">
            <w:pPr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7.4、8.8</w:t>
            </w:r>
          </w:p>
          <w:p w14:paraId="45D9CE9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14:paraId="5CC566F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60</w:t>
            </w:r>
          </w:p>
        </w:tc>
        <w:tc>
          <w:tcPr>
            <w:tcW w:w="3887" w:type="dxa"/>
          </w:tcPr>
          <w:p w14:paraId="3147918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对企业及供应商绿色信息进行规范管理，信息可查询、可追溯，并在供应链系统有效传递；建立绿色供应链管理信息平台（可与企业信息化系统融合），功能包括： </w:t>
            </w:r>
          </w:p>
          <w:p w14:paraId="00FD4CD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　基础信息管理； </w:t>
            </w:r>
          </w:p>
          <w:p w14:paraId="662B65C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　绿色设计系统； </w:t>
            </w:r>
          </w:p>
          <w:p w14:paraId="7A1ACAD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●绿色物料管控； </w:t>
            </w:r>
          </w:p>
          <w:p w14:paraId="7D0CBB8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●绿色供应商管理； </w:t>
            </w:r>
          </w:p>
          <w:p w14:paraId="49430B5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●绿色生产信息管理； </w:t>
            </w:r>
          </w:p>
          <w:p w14:paraId="676B140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●绿色物流和末端处置； </w:t>
            </w:r>
          </w:p>
          <w:p w14:paraId="22F32E9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●绿色信息披露等</w:t>
            </w:r>
          </w:p>
        </w:tc>
        <w:tc>
          <w:tcPr>
            <w:tcW w:w="3238" w:type="dxa"/>
          </w:tcPr>
          <w:p w14:paraId="2CF96E3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EAA42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63DE14A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5DE7F98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35*</w:t>
            </w:r>
          </w:p>
        </w:tc>
        <w:tc>
          <w:tcPr>
            <w:tcW w:w="1189" w:type="dxa"/>
            <w:vAlign w:val="center"/>
          </w:tcPr>
          <w:p w14:paraId="6D88866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14:paraId="2F81C41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5E46C9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3ECC4B52">
            <w:pPr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7.4、8.8</w:t>
            </w:r>
          </w:p>
          <w:p w14:paraId="0B0398A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14:paraId="6D842EC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40</w:t>
            </w:r>
          </w:p>
        </w:tc>
        <w:tc>
          <w:tcPr>
            <w:tcW w:w="3887" w:type="dxa"/>
          </w:tcPr>
          <w:p w14:paraId="7657B71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披露企业绿色供应链相关信息，如： </w:t>
            </w:r>
          </w:p>
          <w:p w14:paraId="36F4621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●绿色发展战略、目标及企业合规性声明； </w:t>
            </w:r>
          </w:p>
          <w:p w14:paraId="6EC39B5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●政府及相关管理部门的要求定期披露企业的环境排放、能源等数据； </w:t>
            </w:r>
          </w:p>
          <w:p w14:paraId="255E9CA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●产品绿色属性及有害物质使用情况； </w:t>
            </w:r>
          </w:p>
          <w:p w14:paraId="652BFB7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●产品拆解、回收处理及循环利用信息； </w:t>
            </w:r>
          </w:p>
          <w:p w14:paraId="525E6CC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●绿色供应商信息等</w:t>
            </w:r>
          </w:p>
        </w:tc>
        <w:tc>
          <w:tcPr>
            <w:tcW w:w="3238" w:type="dxa"/>
          </w:tcPr>
          <w:p w14:paraId="6C6F617C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2A4BFC0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2B9D1978"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1"/>
          <w:szCs w:val="21"/>
          <w:lang w:val="en-US" w:eastAsia="zh-CN" w:bidi="ar"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lang w:val="en-US" w:eastAsia="zh-CN" w:bidi="ar"/>
        </w:rPr>
        <w:t>评审依据为：RB/T 089-2022 《绿色供应链管理体系 要求及使用指南》和GB/T 39257-2020 《绿色制造 制造企业绿色供应链管理 评价规范》。</w:t>
      </w:r>
    </w:p>
    <w:p w14:paraId="7AC058B0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计算公式：</w:t>
      </w:r>
    </w:p>
    <w:p w14:paraId="6F1DD008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∑R=ω</w:t>
      </w:r>
      <w:r>
        <w:rPr>
          <w:rFonts w:ascii="宋体" w:eastAsia="宋体" w:hAnsi="宋体" w:hint="eastAsia"/>
          <w:sz w:val="21"/>
          <w:szCs w:val="21"/>
          <w:vertAlign w:val="subscript"/>
        </w:rPr>
        <w:t>1</w:t>
      </w:r>
      <w:r>
        <w:rPr>
          <w:rFonts w:ascii="宋体" w:eastAsia="宋体" w:hAnsi="宋体" w:hint="eastAsia"/>
          <w:sz w:val="21"/>
          <w:szCs w:val="21"/>
        </w:rPr>
        <w:t>R</w:t>
      </w:r>
      <w:r>
        <w:rPr>
          <w:rFonts w:ascii="宋体" w:eastAsia="宋体" w:hAnsi="宋体" w:hint="eastAsia"/>
          <w:sz w:val="21"/>
          <w:szCs w:val="21"/>
          <w:vertAlign w:val="subscript"/>
        </w:rPr>
        <w:t>1</w:t>
      </w:r>
      <w:r>
        <w:rPr>
          <w:rFonts w:ascii="宋体" w:eastAsia="宋体" w:hAnsi="宋体" w:hint="eastAsia"/>
          <w:sz w:val="21"/>
          <w:szCs w:val="21"/>
        </w:rPr>
        <w:t>+ω</w:t>
      </w:r>
      <w:r>
        <w:rPr>
          <w:rFonts w:ascii="宋体" w:eastAsia="宋体" w:hAnsi="宋体" w:hint="eastAsia"/>
          <w:sz w:val="21"/>
          <w:szCs w:val="21"/>
          <w:vertAlign w:val="subscript"/>
        </w:rPr>
        <w:t>2</w:t>
      </w:r>
      <w:r>
        <w:rPr>
          <w:rFonts w:ascii="宋体" w:eastAsia="宋体" w:hAnsi="宋体" w:hint="eastAsia"/>
          <w:sz w:val="21"/>
          <w:szCs w:val="21"/>
        </w:rPr>
        <w:t>R</w:t>
      </w:r>
      <w:r>
        <w:rPr>
          <w:rFonts w:ascii="宋体" w:eastAsia="宋体" w:hAnsi="宋体" w:hint="eastAsia"/>
          <w:sz w:val="21"/>
          <w:szCs w:val="21"/>
          <w:vertAlign w:val="subscript"/>
        </w:rPr>
        <w:t>2</w:t>
      </w:r>
      <w:r>
        <w:rPr>
          <w:rFonts w:ascii="宋体" w:eastAsia="宋体" w:hAnsi="宋体" w:hint="eastAsia"/>
          <w:sz w:val="21"/>
          <w:szCs w:val="21"/>
        </w:rPr>
        <w:t>+ω</w:t>
      </w:r>
      <w:r>
        <w:rPr>
          <w:rFonts w:ascii="宋体" w:eastAsia="宋体" w:hAnsi="宋体" w:hint="eastAsia"/>
          <w:sz w:val="21"/>
          <w:szCs w:val="21"/>
          <w:vertAlign w:val="subscript"/>
        </w:rPr>
        <w:t>3</w:t>
      </w:r>
      <w:r>
        <w:rPr>
          <w:rFonts w:ascii="宋体" w:eastAsia="宋体" w:hAnsi="宋体" w:hint="eastAsia"/>
          <w:sz w:val="21"/>
          <w:szCs w:val="21"/>
        </w:rPr>
        <w:t>R</w:t>
      </w:r>
      <w:r>
        <w:rPr>
          <w:rFonts w:ascii="宋体" w:eastAsia="宋体" w:hAnsi="宋体" w:hint="eastAsia"/>
          <w:sz w:val="21"/>
          <w:szCs w:val="21"/>
          <w:vertAlign w:val="subscript"/>
        </w:rPr>
        <w:t>3</w:t>
      </w:r>
      <w:r>
        <w:rPr>
          <w:rFonts w:ascii="宋体" w:eastAsia="宋体" w:hAnsi="宋体" w:hint="eastAsia"/>
          <w:sz w:val="21"/>
          <w:szCs w:val="21"/>
        </w:rPr>
        <w:t>+ω</w:t>
      </w:r>
      <w:r>
        <w:rPr>
          <w:rFonts w:ascii="宋体" w:eastAsia="宋体" w:hAnsi="宋体" w:hint="eastAsia"/>
          <w:sz w:val="21"/>
          <w:szCs w:val="21"/>
          <w:vertAlign w:val="subscript"/>
        </w:rPr>
        <w:t>4</w:t>
      </w:r>
      <w:r>
        <w:rPr>
          <w:rFonts w:ascii="宋体" w:eastAsia="宋体" w:hAnsi="宋体" w:hint="eastAsia"/>
          <w:sz w:val="21"/>
          <w:szCs w:val="21"/>
        </w:rPr>
        <w:t>R</w:t>
      </w:r>
      <w:r>
        <w:rPr>
          <w:rFonts w:ascii="宋体" w:eastAsia="宋体" w:hAnsi="宋体" w:hint="eastAsia"/>
          <w:sz w:val="21"/>
          <w:szCs w:val="21"/>
          <w:vertAlign w:val="subscript"/>
        </w:rPr>
        <w:t>4</w:t>
      </w:r>
      <w:r>
        <w:rPr>
          <w:rFonts w:ascii="宋体" w:eastAsia="宋体" w:hAnsi="宋体"/>
          <w:sz w:val="21"/>
          <w:szCs w:val="21"/>
        </w:rPr>
        <w:t>…………………</w:t>
      </w:r>
      <w:r>
        <w:rPr>
          <w:rFonts w:ascii="宋体" w:eastAsia="宋体" w:hAnsi="宋体" w:hint="eastAsia"/>
          <w:sz w:val="21"/>
          <w:szCs w:val="21"/>
        </w:rPr>
        <w:t>(1)</w:t>
      </w:r>
    </w:p>
    <w:p w14:paraId="688DF4D9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式中</w:t>
      </w:r>
    </w:p>
    <w:p w14:paraId="2152AA83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∑R      ——绿色供应链评价实际综合分值</w:t>
      </w:r>
    </w:p>
    <w:p w14:paraId="3E2E5E5D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ω1、ω2、ω3、ω4——分别对应一级指标的权重</w:t>
      </w:r>
    </w:p>
    <w:p w14:paraId="207D3260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R1、R2、R3、R4——分别为所评价二级指标的得分</w:t>
      </w:r>
    </w:p>
    <w:p w14:paraId="2DFC19F4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∑R=</w:t>
      </w:r>
    </w:p>
    <w:p w14:paraId="5D87BEEE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评级结论：</w:t>
      </w:r>
    </w:p>
    <w:p w14:paraId="2A1C8A31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□不合格</w:t>
      </w:r>
    </w:p>
    <w:p w14:paraId="205DB9D4">
      <w:pPr>
        <w:rPr>
          <w:rFonts w:ascii="宋体" w:eastAsia="宋体" w:hAnsi="宋体" w:hint="eastAsia"/>
          <w:sz w:val="21"/>
          <w:szCs w:val="21"/>
          <w:lang w:eastAsia="zh-CN"/>
        </w:rPr>
      </w:pPr>
      <w:r>
        <w:rPr>
          <w:rFonts w:ascii="宋体" w:eastAsia="宋体" w:hAnsi="宋体" w:hint="eastAsia"/>
          <w:sz w:val="21"/>
          <w:szCs w:val="21"/>
        </w:rPr>
        <w:t>□合格，级别为</w:t>
      </w:r>
      <w:r>
        <w:rPr>
          <w:rFonts w:ascii="宋体" w:eastAsia="宋体" w:hAnsi="宋体" w:hint="eastAsia"/>
          <w:sz w:val="21"/>
          <w:szCs w:val="21"/>
          <w:u w:val="single"/>
        </w:rPr>
        <w:t>：</w:t>
      </w:r>
      <w:r>
        <w:rPr>
          <w:rFonts w:ascii="宋体" w:eastAsia="宋体" w:hAnsi="宋体" w:hint="eastAsia"/>
          <w:b/>
          <w:bCs/>
          <w:sz w:val="21"/>
          <w:szCs w:val="21"/>
          <w:u w:val="single"/>
        </w:rPr>
        <w:t xml:space="preserve">   </w:t>
      </w:r>
      <w:r>
        <w:rPr>
          <w:rFonts w:ascii="宋体" w:eastAsia="宋体" w:hAnsi="宋体" w:hint="eastAsia"/>
          <w:b/>
          <w:bCs/>
          <w:sz w:val="21"/>
          <w:szCs w:val="21"/>
          <w:u w:val="single"/>
          <w:lang w:val="en-US" w:eastAsia="zh-CN"/>
        </w:rPr>
        <w:t>星</w:t>
      </w:r>
      <w:r>
        <w:rPr>
          <w:rFonts w:ascii="宋体" w:eastAsia="宋体" w:hAnsi="宋体" w:hint="eastAsia"/>
          <w:b/>
          <w:bCs/>
          <w:sz w:val="21"/>
          <w:szCs w:val="21"/>
          <w:u w:val="single"/>
        </w:rPr>
        <w:t>级，</w:t>
      </w:r>
      <w:r>
        <w:rPr>
          <w:rFonts w:ascii="宋体" w:eastAsia="宋体" w:hAnsi="宋体" w:hint="eastAsia"/>
          <w:sz w:val="21"/>
          <w:szCs w:val="21"/>
        </w:rPr>
        <w:t>可以颁发对应级别的绿色供应链认证证书</w:t>
      </w:r>
      <w:r>
        <w:rPr>
          <w:rFonts w:ascii="宋体" w:eastAsia="宋体" w:hAnsi="宋体" w:hint="eastAsia"/>
          <w:sz w:val="21"/>
          <w:szCs w:val="21"/>
          <w:lang w:eastAsia="zh-CN"/>
        </w:rPr>
        <w:t>。</w:t>
      </w:r>
    </w:p>
    <w:p w14:paraId="491B515F">
      <w:pPr>
        <w:rPr>
          <w:rFonts w:ascii="宋体" w:eastAsia="宋体" w:hAnsi="宋体" w:hint="eastAsia"/>
          <w:sz w:val="21"/>
          <w:szCs w:val="21"/>
        </w:rPr>
      </w:pPr>
    </w:p>
    <w:p w14:paraId="5A3D0D23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评级说明如下：</w:t>
      </w:r>
    </w:p>
    <w:tbl>
      <w:tblPr>
        <w:tblStyle w:val="TableGrid"/>
        <w:tblW w:w="1063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14"/>
        <w:gridCol w:w="5954"/>
      </w:tblGrid>
      <w:tr w14:paraId="77244D1D">
        <w:tblPrEx>
          <w:tblW w:w="10631" w:type="dxa"/>
          <w:tblInd w:w="9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1F1CDF5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评级结论</w:t>
            </w:r>
          </w:p>
        </w:tc>
        <w:tc>
          <w:tcPr>
            <w:tcW w:w="2414" w:type="dxa"/>
          </w:tcPr>
          <w:p w14:paraId="3B2E785E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分级</w:t>
            </w:r>
          </w:p>
        </w:tc>
        <w:tc>
          <w:tcPr>
            <w:tcW w:w="5954" w:type="dxa"/>
          </w:tcPr>
          <w:p w14:paraId="1194C683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条件</w:t>
            </w:r>
          </w:p>
        </w:tc>
      </w:tr>
      <w:tr w14:paraId="2A0D8129">
        <w:tblPrEx>
          <w:tblW w:w="10631" w:type="dxa"/>
          <w:tblInd w:w="98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restart"/>
            <w:vAlign w:val="center"/>
          </w:tcPr>
          <w:p w14:paraId="3331A4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14:paraId="67ADE0A1">
            <w:pPr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一级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五星）</w:t>
            </w:r>
          </w:p>
        </w:tc>
        <w:tc>
          <w:tcPr>
            <w:tcW w:w="5954" w:type="dxa"/>
          </w:tcPr>
          <w:p w14:paraId="3219C08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必选项符合，且∑R≥90</w:t>
            </w:r>
          </w:p>
        </w:tc>
      </w:tr>
      <w:tr w14:paraId="369F30C7">
        <w:tblPrEx>
          <w:tblW w:w="10631" w:type="dxa"/>
          <w:tblInd w:w="98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/>
            <w:vAlign w:val="center"/>
          </w:tcPr>
          <w:p w14:paraId="6C3FA17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729DEE56">
            <w:pPr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二级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四星）</w:t>
            </w:r>
          </w:p>
        </w:tc>
        <w:tc>
          <w:tcPr>
            <w:tcW w:w="5954" w:type="dxa"/>
          </w:tcPr>
          <w:p w14:paraId="5772A74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必选项符合，且80≤∑R＜90</w:t>
            </w:r>
          </w:p>
        </w:tc>
      </w:tr>
      <w:tr w14:paraId="7A9DCC0E">
        <w:tblPrEx>
          <w:tblW w:w="10631" w:type="dxa"/>
          <w:tblInd w:w="98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/>
            <w:vAlign w:val="center"/>
          </w:tcPr>
          <w:p w14:paraId="6AD6064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1DF26D4E">
            <w:pPr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三级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三星）</w:t>
            </w:r>
          </w:p>
        </w:tc>
        <w:tc>
          <w:tcPr>
            <w:tcW w:w="5954" w:type="dxa"/>
          </w:tcPr>
          <w:p w14:paraId="0BD9A23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必选项符合，且70≤∑R＜80</w:t>
            </w:r>
          </w:p>
        </w:tc>
      </w:tr>
      <w:tr w14:paraId="2BD8D2FB">
        <w:tblPrEx>
          <w:tblW w:w="10631" w:type="dxa"/>
          <w:tblInd w:w="98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/>
            <w:vAlign w:val="center"/>
          </w:tcPr>
          <w:p w14:paraId="3CAB7FB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0AE31F71">
            <w:pPr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四级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二星）</w:t>
            </w:r>
          </w:p>
        </w:tc>
        <w:tc>
          <w:tcPr>
            <w:tcW w:w="5954" w:type="dxa"/>
          </w:tcPr>
          <w:p w14:paraId="33343A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必选项符合，且60≤∑R＜70</w:t>
            </w:r>
          </w:p>
        </w:tc>
      </w:tr>
      <w:tr w14:paraId="10BF49EE">
        <w:tblPrEx>
          <w:tblW w:w="10631" w:type="dxa"/>
          <w:tblInd w:w="98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77B59FA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14:paraId="1BA69DC0">
            <w:pPr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五级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一星）</w:t>
            </w:r>
          </w:p>
        </w:tc>
        <w:tc>
          <w:tcPr>
            <w:tcW w:w="5954" w:type="dxa"/>
          </w:tcPr>
          <w:p w14:paraId="60A52C4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必选项指标缺失或不符合要求；</w:t>
            </w:r>
          </w:p>
          <w:p w14:paraId="690F10B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或必选项符合，但∑R＜60</w:t>
            </w:r>
          </w:p>
        </w:tc>
      </w:tr>
    </w:tbl>
    <w:p w14:paraId="04E5FCA6">
      <w:pPr>
        <w:spacing w:line="360" w:lineRule="auto"/>
        <w:jc w:val="both"/>
        <w:rPr>
          <w:rFonts w:ascii="宋体" w:eastAsia="宋体" w:hAnsi="宋体" w:hint="default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注：1、如果企业不需要星、级，可以不进行打分，仅按管理体系审核记录填写。</w:t>
      </w:r>
    </w:p>
    <w:p w14:paraId="3CCB09A4">
      <w:pPr>
        <w:spacing w:line="360" w:lineRule="auto"/>
        <w:ind w:firstLine="210" w:firstLineChars="100"/>
        <w:jc w:val="both"/>
        <w:rPr>
          <w:rFonts w:ascii="宋体" w:eastAsia="宋体" w:hAnsi="宋体" w:hint="default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2、如果需要星、级。则星、级可根据企业的需要可单独给一级或者五星，也可是它们的组合。推荐是给五星。请与企业确认后填写认证信息确认表。</w:t>
      </w:r>
    </w:p>
    <w:p w14:paraId="73C07F3A">
      <w:pPr>
        <w:jc w:val="right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</w:t>
      </w:r>
    </w:p>
    <w:sectPr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6838" w:h="11906" w:orient="landscape"/>
      <w:pgMar w:top="1134" w:right="1135" w:bottom="993" w:left="1440" w:header="568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02B3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8C7EFC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271EA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980822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rPr>
        <w:rFonts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6180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14:paraId="1BA7260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>
      <w:rPr>
        <w:rFonts w:ascii="宋体" w:eastAsia="宋体" w:hAnsi="宋体"/>
        <w:szCs w:val="21"/>
      </w:rPr>
      <w:t xml:space="preserve"> </w:t>
    </w:r>
    <w:r>
      <w:rPr>
        <w:rFonts w:ascii="宋体" w:eastAsia="宋体" w:hAnsi="宋体" w:hint="eastAsia"/>
        <w:szCs w:val="21"/>
      </w:rPr>
      <w:t xml:space="preserve">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  <w:lang w:val="en-US" w:eastAsia="zh-CN"/>
      </w:rPr>
      <w:t>8</w:t>
    </w:r>
    <w:r>
      <w:rPr>
        <w:rFonts w:ascii="宋体" w:eastAsia="宋体" w:hAnsi="宋体" w:hint="eastAsia"/>
        <w:szCs w:val="21"/>
      </w:rPr>
      <w:t xml:space="preserve"> </w:t>
    </w:r>
    <w:r>
      <w:rPr>
        <w:rFonts w:ascii="宋体" w:eastAsia="宋体" w:hAnsi="宋体" w:hint="eastAsia"/>
        <w:szCs w:val="21"/>
        <w:lang w:val="en-US" w:eastAsia="zh-CN"/>
      </w:rPr>
      <w:t>B</w:t>
    </w:r>
    <w:r>
      <w:rPr>
        <w:rFonts w:ascii="宋体" w:eastAsia="宋体" w:hAnsi="宋体" w:hint="eastAsia"/>
        <w:szCs w:val="21"/>
      </w:rPr>
      <w:t>/0</w:t>
    </w:r>
  </w:p>
  <w:p w14:paraId="5CFD12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E3B3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31E4B"/>
    <w:rsid w:val="008601E2"/>
    <w:rsid w:val="00883DBE"/>
    <w:rsid w:val="00885A67"/>
    <w:rsid w:val="008C7E2E"/>
    <w:rsid w:val="009D7BA4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F80788"/>
    <w:rsid w:val="00F91C7A"/>
    <w:rsid w:val="66DB4F71"/>
    <w:rsid w:val="6C601197"/>
    <w:rsid w:val="7B490C91"/>
    <w:rsid w:val="7D5207D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header" Target="header3.xml" /><Relationship Id="rId15" Type="http://schemas.openxmlformats.org/officeDocument/2006/relationships/footer" Target="footer2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1135</Words>
  <Characters>1199</Characters>
  <Application>Microsoft Office Word</Application>
  <DocSecurity>0</DocSecurity>
  <Lines>29</Lines>
  <Paragraphs>8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3</cp:revision>
  <dcterms:created xsi:type="dcterms:W3CDTF">2024-09-11T08:34:00Z</dcterms:created>
  <dcterms:modified xsi:type="dcterms:W3CDTF">2025-09-14T01:15:12Z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16DE519E4CA34A419AD23E9B3D4E1C59_12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