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149"/>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23"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1149"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642"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受审核部门：管理层（含员工代表）    总经理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赵顺忠  管代</w:t>
            </w:r>
            <w:r>
              <w:rPr>
                <w:rFonts w:hint="eastAsia" w:ascii="宋体" w:hAnsi="宋体" w:eastAsia="宋体" w:cs="宋体"/>
                <w:sz w:val="24"/>
                <w:szCs w:val="24"/>
              </w:rPr>
              <w:t>：</w:t>
            </w:r>
            <w:r>
              <w:rPr>
                <w:rFonts w:hint="eastAsia" w:ascii="宋体" w:hAnsi="宋体" w:eastAsia="宋体" w:cs="宋体"/>
                <w:sz w:val="24"/>
                <w:szCs w:val="24"/>
                <w:lang w:val="en-US" w:eastAsia="zh-CN"/>
              </w:rPr>
              <w:t>董忠其   员工代表：石强</w:t>
            </w:r>
          </w:p>
        </w:tc>
        <w:tc>
          <w:tcPr>
            <w:tcW w:w="895"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3" w:type="dxa"/>
            <w:vMerge w:val="continue"/>
            <w:vAlign w:val="center"/>
          </w:tcPr>
          <w:p>
            <w:pPr>
              <w:rPr>
                <w:rFonts w:hint="eastAsia" w:ascii="宋体" w:hAnsi="宋体" w:eastAsia="宋体" w:cs="宋体"/>
                <w:sz w:val="24"/>
                <w:szCs w:val="24"/>
              </w:rPr>
            </w:pPr>
          </w:p>
        </w:tc>
        <w:tc>
          <w:tcPr>
            <w:tcW w:w="1149" w:type="dxa"/>
            <w:vMerge w:val="continue"/>
            <w:vAlign w:val="center"/>
          </w:tcPr>
          <w:p>
            <w:pPr>
              <w:rPr>
                <w:rFonts w:hint="eastAsia" w:ascii="宋体" w:hAnsi="宋体" w:eastAsia="宋体" w:cs="宋体"/>
                <w:sz w:val="24"/>
                <w:szCs w:val="24"/>
              </w:rPr>
            </w:pPr>
          </w:p>
        </w:tc>
        <w:tc>
          <w:tcPr>
            <w:tcW w:w="10642" w:type="dxa"/>
            <w:vAlign w:val="center"/>
          </w:tcPr>
          <w:p>
            <w:pPr>
              <w:rPr>
                <w:rFonts w:hint="eastAsia" w:ascii="宋体" w:hAnsi="宋体" w:eastAsia="宋体" w:cs="宋体"/>
                <w:sz w:val="24"/>
                <w:szCs w:val="24"/>
                <w:lang w:val="en-US"/>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温红玲</w:t>
            </w:r>
            <w:r>
              <w:rPr>
                <w:rFonts w:hint="eastAsia" w:ascii="宋体" w:hAnsi="宋体" w:eastAsia="宋体" w:cs="宋体"/>
                <w:sz w:val="24"/>
                <w:szCs w:val="24"/>
              </w:rPr>
              <w:t xml:space="preserve">   审核时间：</w:t>
            </w:r>
            <w:r>
              <w:rPr>
                <w:rFonts w:hint="eastAsia" w:ascii="宋体" w:hAnsi="宋体" w:eastAsia="宋体" w:cs="宋体"/>
                <w:b/>
                <w:kern w:val="2"/>
                <w:sz w:val="24"/>
                <w:szCs w:val="24"/>
                <w:lang w:val="en-US" w:eastAsia="zh-CN" w:bidi="ar-SA"/>
              </w:rPr>
              <w:t>2022.2.20</w:t>
            </w:r>
          </w:p>
        </w:tc>
        <w:tc>
          <w:tcPr>
            <w:tcW w:w="89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Merge w:val="continue"/>
            <w:vAlign w:val="center"/>
          </w:tcPr>
          <w:p>
            <w:pPr>
              <w:rPr>
                <w:rFonts w:hint="eastAsia" w:ascii="宋体" w:hAnsi="宋体" w:eastAsia="宋体" w:cs="宋体"/>
                <w:sz w:val="24"/>
                <w:szCs w:val="24"/>
              </w:rPr>
            </w:pPr>
          </w:p>
        </w:tc>
        <w:tc>
          <w:tcPr>
            <w:tcW w:w="1149" w:type="dxa"/>
            <w:vMerge w:val="continue"/>
            <w:vAlign w:val="center"/>
          </w:tcPr>
          <w:p>
            <w:pPr>
              <w:rPr>
                <w:rFonts w:hint="eastAsia" w:ascii="宋体" w:hAnsi="宋体" w:eastAsia="宋体" w:cs="宋体"/>
                <w:sz w:val="24"/>
                <w:szCs w:val="24"/>
              </w:rPr>
            </w:pPr>
          </w:p>
        </w:tc>
        <w:tc>
          <w:tcPr>
            <w:tcW w:w="10642"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审核条款：</w:t>
            </w:r>
          </w:p>
          <w:p>
            <w:pPr>
              <w:pStyle w:val="2"/>
              <w:spacing w:line="240" w:lineRule="auto"/>
              <w:rPr>
                <w:rFonts w:hint="eastAsia" w:ascii="宋体" w:hAnsi="宋体" w:eastAsia="宋体" w:cs="宋体"/>
                <w:sz w:val="24"/>
                <w:szCs w:val="24"/>
              </w:rPr>
            </w:pPr>
            <w:r>
              <w:rPr>
                <w:rFonts w:hint="eastAsia" w:ascii="宋体" w:hAnsi="宋体" w:eastAsia="宋体" w:cs="宋体"/>
                <w:sz w:val="24"/>
                <w:szCs w:val="24"/>
              </w:rPr>
              <w:t>EMS：4.1,4.2 ,4.3,4.4, 5.1, 5.2, 5.3,6.1 ,6.2,7.1,7.4,9.3,10.1,10.3,</w:t>
            </w:r>
          </w:p>
          <w:p>
            <w:pPr>
              <w:pStyle w:val="2"/>
              <w:spacing w:line="240" w:lineRule="auto"/>
              <w:rPr>
                <w:rFonts w:hint="eastAsia" w:ascii="宋体" w:hAnsi="宋体" w:eastAsia="宋体" w:cs="宋体"/>
                <w:sz w:val="24"/>
                <w:szCs w:val="24"/>
              </w:rPr>
            </w:pPr>
            <w:r>
              <w:rPr>
                <w:rFonts w:hint="eastAsia" w:ascii="宋体" w:hAnsi="宋体" w:eastAsia="宋体" w:cs="宋体"/>
                <w:sz w:val="24"/>
                <w:szCs w:val="24"/>
              </w:rPr>
              <w:t>OHS：4.1, 4.2, 4.3, 4.4, 5.1, 5.2 ,5.3，5,4,6.1, 6.2, 7.1 ,7.4, 9.3, 10.1,10.3,</w:t>
            </w:r>
          </w:p>
          <w:p>
            <w:pPr>
              <w:tabs>
                <w:tab w:val="left" w:pos="709"/>
              </w:tabs>
              <w:ind w:right="57"/>
              <w:rPr>
                <w:rFonts w:hint="eastAsia" w:ascii="宋体" w:hAnsi="宋体" w:eastAsia="宋体" w:cs="宋体"/>
                <w:sz w:val="24"/>
                <w:szCs w:val="24"/>
              </w:rPr>
            </w:pPr>
            <w:r>
              <w:rPr>
                <w:rFonts w:hint="eastAsia" w:ascii="宋体" w:hAnsi="宋体" w:eastAsia="宋体" w:cs="宋体"/>
                <w:sz w:val="24"/>
                <w:szCs w:val="24"/>
              </w:rPr>
              <w:t>内外部因素、相关方的需求和期望、体系策划过程、管理承诺相关过程、资源提供过程、内外部沟通、管理评审过程、目标实现策划、顾客投诉处理、监视和测量规划和持续改进等</w:t>
            </w:r>
          </w:p>
          <w:p>
            <w:pPr>
              <w:pStyle w:val="2"/>
              <w:rPr>
                <w:rFonts w:hint="eastAsia" w:ascii="宋体" w:hAnsi="宋体" w:eastAsia="宋体" w:cs="宋体"/>
                <w:sz w:val="24"/>
                <w:szCs w:val="24"/>
              </w:rPr>
            </w:pPr>
            <w:r>
              <w:rPr>
                <w:rFonts w:hint="eastAsia" w:ascii="宋体" w:hAnsi="宋体" w:eastAsia="宋体" w:cs="宋体"/>
                <w:sz w:val="24"/>
                <w:szCs w:val="24"/>
              </w:rPr>
              <w:t>员工代表</w:t>
            </w:r>
            <w:r>
              <w:rPr>
                <w:rFonts w:hint="eastAsia" w:ascii="宋体" w:hAnsi="宋体" w:eastAsia="宋体" w:cs="宋体"/>
                <w:sz w:val="24"/>
                <w:szCs w:val="24"/>
                <w:lang w:eastAsia="zh-CN"/>
              </w:rPr>
              <w:t>：</w:t>
            </w:r>
            <w:r>
              <w:rPr>
                <w:rFonts w:hint="eastAsia" w:ascii="宋体" w:hAnsi="宋体" w:eastAsia="宋体" w:cs="宋体"/>
                <w:sz w:val="24"/>
                <w:szCs w:val="24"/>
              </w:rPr>
              <w:t>沟通、参与、协商</w:t>
            </w:r>
          </w:p>
          <w:p>
            <w:pPr>
              <w:tabs>
                <w:tab w:val="left" w:pos="709"/>
              </w:tabs>
              <w:ind w:right="57"/>
              <w:rPr>
                <w:rFonts w:hint="eastAsia" w:ascii="宋体" w:hAnsi="宋体" w:eastAsia="宋体" w:cs="宋体"/>
                <w:sz w:val="24"/>
                <w:szCs w:val="24"/>
              </w:rPr>
            </w:pPr>
            <w:r>
              <w:rPr>
                <w:rFonts w:hint="eastAsia" w:ascii="宋体" w:hAnsi="宋体" w:eastAsia="宋体" w:cs="宋体"/>
                <w:sz w:val="24"/>
                <w:szCs w:val="24"/>
              </w:rPr>
              <w:t>对一阶段问题整改情况的确认；事故事件及处理情况，环境安全监测情况、使用情况等</w:t>
            </w:r>
          </w:p>
          <w:p>
            <w:pPr>
              <w:pStyle w:val="2"/>
              <w:spacing w:line="240" w:lineRule="auto"/>
              <w:rPr>
                <w:rFonts w:hint="eastAsia" w:ascii="宋体" w:hAnsi="宋体" w:eastAsia="宋体" w:cs="宋体"/>
                <w:sz w:val="24"/>
                <w:szCs w:val="24"/>
              </w:rPr>
            </w:pPr>
            <w:r>
              <w:rPr>
                <w:rFonts w:hint="eastAsia" w:ascii="宋体" w:hAnsi="宋体" w:eastAsia="宋体" w:cs="宋体"/>
                <w:sz w:val="24"/>
                <w:szCs w:val="24"/>
              </w:rPr>
              <w:t>国家/地方监督抽查情况；顾客满意、相关方投诉及处理情况；</w:t>
            </w:r>
          </w:p>
          <w:p>
            <w:pPr>
              <w:pStyle w:val="2"/>
              <w:spacing w:line="240" w:lineRule="auto"/>
              <w:rPr>
                <w:rFonts w:hint="eastAsia" w:ascii="宋体" w:hAnsi="宋体" w:eastAsia="宋体" w:cs="宋体"/>
                <w:sz w:val="24"/>
                <w:szCs w:val="24"/>
              </w:rPr>
            </w:pPr>
            <w:r>
              <w:rPr>
                <w:rFonts w:hint="eastAsia" w:ascii="宋体" w:hAnsi="宋体" w:eastAsia="宋体" w:cs="宋体"/>
                <w:sz w:val="24"/>
                <w:szCs w:val="24"/>
              </w:rPr>
              <w:t>验证企业相关资质证明的有效性，上次审核不符合验证；证书及标志的使用，变更</w:t>
            </w:r>
          </w:p>
        </w:tc>
        <w:tc>
          <w:tcPr>
            <w:tcW w:w="89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理解组织及其环境</w:t>
            </w:r>
          </w:p>
          <w:p>
            <w:pPr>
              <w:spacing w:line="280" w:lineRule="exact"/>
              <w:rPr>
                <w:rFonts w:hint="eastAsia" w:ascii="宋体" w:hAnsi="宋体" w:eastAsia="宋体" w:cs="宋体"/>
                <w:sz w:val="24"/>
                <w:szCs w:val="24"/>
              </w:rPr>
            </w:pPr>
            <w:r>
              <w:rPr>
                <w:rFonts w:hint="eastAsia" w:ascii="宋体" w:hAnsi="宋体" w:eastAsia="宋体" w:cs="宋体"/>
                <w:sz w:val="24"/>
                <w:szCs w:val="24"/>
              </w:rPr>
              <w:t>总要求</w:t>
            </w:r>
          </w:p>
          <w:p>
            <w:pPr>
              <w:spacing w:line="280" w:lineRule="exact"/>
              <w:rPr>
                <w:rFonts w:hint="eastAsia" w:ascii="宋体" w:hAnsi="宋体" w:eastAsia="宋体" w:cs="宋体"/>
                <w:sz w:val="24"/>
                <w:szCs w:val="24"/>
              </w:rPr>
            </w:pP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lang w:eastAsia="zh-CN"/>
              </w:rPr>
              <w:t>EO</w:t>
            </w:r>
            <w:r>
              <w:rPr>
                <w:rFonts w:hint="eastAsia" w:ascii="宋体" w:hAnsi="宋体" w:eastAsia="宋体" w:cs="宋体"/>
                <w:sz w:val="24"/>
                <w:szCs w:val="24"/>
              </w:rPr>
              <w:t>4.1</w:t>
            </w:r>
          </w:p>
          <w:p>
            <w:pPr>
              <w:spacing w:line="280" w:lineRule="exact"/>
              <w:rPr>
                <w:rFonts w:hint="eastAsia" w:ascii="宋体" w:hAnsi="宋体" w:eastAsia="宋体" w:cs="宋体"/>
                <w:sz w:val="24"/>
                <w:szCs w:val="24"/>
              </w:rPr>
            </w:pPr>
          </w:p>
        </w:tc>
        <w:tc>
          <w:tcPr>
            <w:tcW w:w="10642" w:type="dxa"/>
            <w:vAlign w:val="center"/>
          </w:tcPr>
          <w:p>
            <w:pPr>
              <w:spacing w:line="240" w:lineRule="auto"/>
              <w:rPr>
                <w:rFonts w:hint="eastAsia" w:ascii="宋体" w:hAnsi="宋体" w:eastAsia="宋体" w:cs="宋体"/>
                <w:bCs/>
                <w:sz w:val="24"/>
                <w:szCs w:val="24"/>
              </w:rPr>
            </w:pPr>
            <w:r>
              <w:rPr>
                <w:rFonts w:hint="eastAsia" w:ascii="宋体" w:hAnsi="宋体" w:eastAsia="宋体" w:cs="宋体"/>
                <w:bCs/>
                <w:sz w:val="24"/>
                <w:szCs w:val="24"/>
              </w:rPr>
              <w:t>邢台顺企机械有限公司，公司地址：内丘县内昔公路新城村南，注册资金2500万元，公司应用V法造型工艺、树脂砂造型工艺、生产带机加工的各类机械零件和工程机械的平衡配重、球铁铸件、耐磨材料铸件等产品，是一家制造型股份制企业。</w:t>
            </w:r>
          </w:p>
          <w:p>
            <w:pPr>
              <w:spacing w:line="240" w:lineRule="auto"/>
              <w:rPr>
                <w:rFonts w:hint="eastAsia" w:ascii="宋体" w:hAnsi="宋体" w:eastAsia="宋体" w:cs="宋体"/>
                <w:bCs/>
                <w:sz w:val="24"/>
                <w:szCs w:val="24"/>
              </w:rPr>
            </w:pPr>
            <w:r>
              <w:rPr>
                <w:rFonts w:hint="eastAsia" w:ascii="宋体" w:hAnsi="宋体" w:eastAsia="宋体" w:cs="宋体"/>
                <w:bCs/>
                <w:sz w:val="24"/>
                <w:szCs w:val="24"/>
              </w:rPr>
              <w:t>公司占地面积7.13万平方米，厂房面积3.48万平方米，包括铸造车间、加工车间、原料棚、模型车间、制芯车间、办公楼等配套及辅助设施。公司主要生产设备：中频炉10吨1套、中频炉5吨2套、中频炉3吨1套、冲天炉15吨1套，主要生产线：V法铸造生产线。产品工艺：V法铸造。公司产品包括：工程机械平衡重、发电用输粉弯头、石油机械配重、化工泵泵体等铸件。公司秉承务实、创新、规范、超越的经营理念，实现客户至上的服务宗旨，努力打造具有竞争力、含金量高的铸造品牌。</w:t>
            </w:r>
          </w:p>
          <w:p>
            <w:pPr>
              <w:spacing w:line="240" w:lineRule="auto"/>
              <w:rPr>
                <w:rFonts w:hint="eastAsia" w:ascii="宋体" w:hAnsi="宋体" w:eastAsia="宋体" w:cs="宋体"/>
                <w:sz w:val="24"/>
                <w:szCs w:val="24"/>
              </w:rPr>
            </w:pPr>
            <w:r>
              <w:rPr>
                <w:rFonts w:hint="eastAsia" w:ascii="宋体" w:hAnsi="宋体" w:eastAsia="宋体" w:cs="宋体"/>
                <w:sz w:val="24"/>
                <w:szCs w:val="24"/>
              </w:rPr>
              <w:t>管理手册，实施、发布日期：2021-07-01。</w:t>
            </w:r>
          </w:p>
          <w:p>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由</w:t>
            </w:r>
            <w:r>
              <w:rPr>
                <w:rFonts w:hint="eastAsia" w:ascii="宋体" w:hAnsi="宋体" w:eastAsia="宋体" w:cs="宋体"/>
                <w:sz w:val="24"/>
                <w:szCs w:val="24"/>
              </w:rPr>
              <w:t>原认证范围：</w:t>
            </w:r>
          </w:p>
          <w:p>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E：工程机械变速箱、装载机变速箱及零部件、模具制造、精密铸造所涉及场所的相关环境管理活动</w:t>
            </w:r>
          </w:p>
          <w:p>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O：工程机械变速箱、装载机变速箱及零部件、模具制造、精密铸造所涉及场所的相关职业健康安全管理活动</w:t>
            </w:r>
          </w:p>
          <w:p>
            <w:pPr>
              <w:autoSpaceDE w:val="0"/>
              <w:autoSpaceDN w:val="0"/>
              <w:adjustRightIn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变更为</w:t>
            </w:r>
            <w:r>
              <w:rPr>
                <w:rFonts w:hint="eastAsia" w:ascii="宋体" w:hAnsi="宋体" w:eastAsia="宋体" w:cs="宋体"/>
                <w:sz w:val="24"/>
                <w:szCs w:val="24"/>
                <w:lang w:eastAsia="zh-CN"/>
              </w:rPr>
              <w:t>：</w:t>
            </w:r>
          </w:p>
          <w:p>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E：工程机械和叉车机械配件、变速箱壳体的铸造所涉及场所的相关环境管理活动。</w:t>
            </w:r>
          </w:p>
          <w:p>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O：工程机械和叉车机械配件、变速箱壳体的铸造所涉及场所的相关职业健康安全管理活动。</w:t>
            </w:r>
          </w:p>
          <w:p>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法律法规：公司地处</w:t>
            </w:r>
            <w:r>
              <w:rPr>
                <w:rFonts w:hint="eastAsia" w:ascii="宋体" w:hAnsi="宋体" w:eastAsia="宋体" w:cs="宋体"/>
                <w:sz w:val="24"/>
                <w:szCs w:val="24"/>
                <w:lang w:val="en-US" w:eastAsia="zh-CN"/>
              </w:rPr>
              <w:t>河</w:t>
            </w:r>
            <w:r>
              <w:rPr>
                <w:rFonts w:hint="eastAsia" w:ascii="宋体" w:hAnsi="宋体" w:eastAsia="宋体" w:cs="宋体"/>
                <w:bCs/>
                <w:sz w:val="24"/>
                <w:szCs w:val="24"/>
              </w:rPr>
              <w:t>北省</w:t>
            </w:r>
            <w:r>
              <w:rPr>
                <w:rFonts w:hint="eastAsia" w:ascii="宋体" w:hAnsi="宋体" w:eastAsia="宋体" w:cs="宋体"/>
                <w:bCs/>
                <w:sz w:val="24"/>
                <w:szCs w:val="24"/>
                <w:lang w:val="en-US" w:eastAsia="zh-CN"/>
              </w:rPr>
              <w:t>邢台</w:t>
            </w:r>
            <w:r>
              <w:rPr>
                <w:rFonts w:hint="eastAsia" w:ascii="宋体" w:hAnsi="宋体" w:eastAsia="宋体" w:cs="宋体"/>
                <w:bCs/>
                <w:sz w:val="24"/>
                <w:szCs w:val="24"/>
              </w:rPr>
              <w:t>市内丘县</w:t>
            </w:r>
            <w:r>
              <w:rPr>
                <w:rFonts w:hint="eastAsia" w:ascii="宋体" w:hAnsi="宋体" w:eastAsia="宋体" w:cs="宋体"/>
                <w:sz w:val="24"/>
                <w:szCs w:val="24"/>
              </w:rPr>
              <w:t>，在环境和职业健康安全方面符合国家</w:t>
            </w:r>
            <w:r>
              <w:rPr>
                <w:rFonts w:hint="eastAsia" w:ascii="宋体" w:hAnsi="宋体" w:eastAsia="宋体" w:cs="宋体"/>
                <w:sz w:val="24"/>
                <w:szCs w:val="24"/>
                <w:lang w:eastAsia="zh-CN"/>
              </w:rPr>
              <w:t>、</w:t>
            </w:r>
            <w:r>
              <w:rPr>
                <w:rFonts w:hint="eastAsia" w:ascii="宋体" w:hAnsi="宋体" w:eastAsia="宋体" w:cs="宋体"/>
                <w:sz w:val="24"/>
                <w:szCs w:val="24"/>
              </w:rPr>
              <w:t>本省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地方</w:t>
            </w:r>
            <w:r>
              <w:rPr>
                <w:rFonts w:hint="eastAsia" w:ascii="宋体" w:hAnsi="宋体" w:eastAsia="宋体" w:cs="宋体"/>
                <w:sz w:val="24"/>
                <w:szCs w:val="24"/>
              </w:rPr>
              <w:t>的环境和安全法律法规要求。</w:t>
            </w:r>
          </w:p>
          <w:p>
            <w:pPr>
              <w:autoSpaceDE w:val="0"/>
              <w:autoSpaceDN w:val="0"/>
              <w:adjustRightInd w:val="0"/>
              <w:spacing w:line="24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与总经理沟通，</w:t>
            </w:r>
            <w:r>
              <w:rPr>
                <w:rFonts w:hint="eastAsia" w:ascii="宋体" w:hAnsi="宋体" w:eastAsia="宋体" w:cs="宋体"/>
                <w:sz w:val="24"/>
                <w:szCs w:val="24"/>
              </w:rPr>
              <w:t>公司领导层确定外部和内部与公司的宗旨、战略方向有关、影响质量管理体系实现预期结果的能力的因素。外部因素考虑：国际、国内、地区和当地的各种法律法规、技术、竞争、文化、社会、经济和自然环境方面（不管是国际、国家、地区或本地）等因素；内部因素考虑：公司的价值观、文化、知识和绩效等因素</w:t>
            </w:r>
            <w:r>
              <w:rPr>
                <w:rFonts w:hint="eastAsia" w:ascii="宋体" w:hAnsi="宋体" w:eastAsia="宋体" w:cs="宋体"/>
                <w:sz w:val="24"/>
                <w:szCs w:val="24"/>
                <w:lang w:eastAsia="zh-CN"/>
              </w:rPr>
              <w:t>。</w:t>
            </w:r>
            <w:r>
              <w:rPr>
                <w:rFonts w:hint="eastAsia" w:ascii="宋体" w:hAnsi="宋体" w:eastAsia="宋体" w:cs="宋体"/>
                <w:sz w:val="24"/>
                <w:szCs w:val="24"/>
              </w:rPr>
              <w:t xml:space="preserve"> 总经理负责组织对确定的内部和外部因素的相关信息进行监视和评审，以确保质量、管理体系与公司的战略方向一致，并实现其预期的结果。</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理解相关方的需求和期望</w:t>
            </w:r>
          </w:p>
          <w:p>
            <w:pPr>
              <w:spacing w:line="280" w:lineRule="exact"/>
              <w:rPr>
                <w:rFonts w:hint="eastAsia" w:ascii="宋体" w:hAnsi="宋体" w:eastAsia="宋体" w:cs="宋体"/>
                <w:sz w:val="24"/>
                <w:szCs w:val="24"/>
              </w:rPr>
            </w:pP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lang w:eastAsia="zh-CN"/>
              </w:rPr>
              <w:t>EO</w:t>
            </w:r>
            <w:r>
              <w:rPr>
                <w:rFonts w:hint="eastAsia" w:ascii="宋体" w:hAnsi="宋体" w:eastAsia="宋体" w:cs="宋体"/>
                <w:sz w:val="24"/>
                <w:szCs w:val="24"/>
              </w:rPr>
              <w:t>4.2</w:t>
            </w:r>
          </w:p>
          <w:p>
            <w:pPr>
              <w:spacing w:line="280" w:lineRule="exact"/>
              <w:rPr>
                <w:rFonts w:hint="eastAsia" w:ascii="宋体" w:hAnsi="宋体" w:eastAsia="宋体" w:cs="宋体"/>
                <w:sz w:val="24"/>
                <w:szCs w:val="24"/>
              </w:rPr>
            </w:pPr>
          </w:p>
        </w:tc>
        <w:tc>
          <w:tcPr>
            <w:tcW w:w="10642" w:type="dxa"/>
            <w:vAlign w:val="center"/>
          </w:tcPr>
          <w:p>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w:t>
            </w:r>
            <w:r>
              <w:rPr>
                <w:rFonts w:hint="eastAsia" w:ascii="宋体" w:hAnsi="宋体" w:eastAsia="宋体" w:cs="宋体"/>
                <w:sz w:val="24"/>
                <w:szCs w:val="24"/>
                <w:lang w:val="en-US" w:eastAsia="zh-CN"/>
              </w:rPr>
              <w:t>按照管理手册要求对相关方的需求和期望进行管理</w:t>
            </w:r>
            <w:r>
              <w:rPr>
                <w:rFonts w:hint="eastAsia" w:ascii="宋体" w:hAnsi="宋体" w:eastAsia="宋体" w:cs="宋体"/>
                <w:sz w:val="24"/>
                <w:szCs w:val="24"/>
              </w:rPr>
              <w:t xml:space="preserve">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240" w:lineRule="auto"/>
              <w:rPr>
                <w:rFonts w:hint="eastAsia" w:ascii="宋体" w:hAnsi="宋体" w:eastAsia="宋体" w:cs="宋体"/>
                <w:sz w:val="24"/>
                <w:szCs w:val="24"/>
              </w:rPr>
            </w:pPr>
            <w:bookmarkStart w:id="0" w:name="_Toc475020125"/>
            <w:bookmarkStart w:id="1" w:name="_Toc475019994"/>
            <w:r>
              <w:rPr>
                <w:rFonts w:hint="eastAsia" w:ascii="宋体" w:hAnsi="宋体" w:eastAsia="宋体" w:cs="宋体"/>
                <w:sz w:val="24"/>
                <w:szCs w:val="24"/>
              </w:rPr>
              <w:t>与质量/环境/职业健康安全管理体系有关的相关方</w:t>
            </w:r>
            <w:bookmarkEnd w:id="0"/>
            <w:bookmarkEnd w:id="1"/>
            <w:r>
              <w:rPr>
                <w:rFonts w:hint="eastAsia" w:ascii="宋体" w:hAnsi="宋体" w:eastAsia="宋体" w:cs="宋体"/>
                <w:sz w:val="24"/>
                <w:szCs w:val="24"/>
              </w:rPr>
              <w:t>；</w:t>
            </w:r>
          </w:p>
          <w:p>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公司的相关方包括：顾客、员工、银行、外部供应商、雇员及其他为组织工作者、法律法规及监管机关、非政府组织等。</w:t>
            </w:r>
          </w:p>
          <w:p>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公司对这些相关方及其要求的相关信息进行监视和评审，理解和持续满足相关方的需求和期望。</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确定管理体系的范围</w:t>
            </w:r>
          </w:p>
          <w:p>
            <w:pPr>
              <w:spacing w:line="280" w:lineRule="exact"/>
              <w:rPr>
                <w:rFonts w:hint="eastAsia" w:ascii="宋体" w:hAnsi="宋体" w:eastAsia="宋体" w:cs="宋体"/>
                <w:sz w:val="24"/>
                <w:szCs w:val="24"/>
              </w:rPr>
            </w:pP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lang w:eastAsia="zh-CN"/>
              </w:rPr>
              <w:t>EO</w:t>
            </w:r>
            <w:r>
              <w:rPr>
                <w:rFonts w:hint="eastAsia" w:ascii="宋体" w:hAnsi="宋体" w:eastAsia="宋体" w:cs="宋体"/>
                <w:sz w:val="24"/>
                <w:szCs w:val="24"/>
              </w:rPr>
              <w:t>4.3</w:t>
            </w:r>
          </w:p>
          <w:p>
            <w:pPr>
              <w:spacing w:line="280" w:lineRule="exact"/>
              <w:rPr>
                <w:rFonts w:hint="eastAsia" w:ascii="宋体" w:hAnsi="宋体" w:eastAsia="宋体" w:cs="宋体"/>
                <w:sz w:val="24"/>
                <w:szCs w:val="24"/>
              </w:rPr>
            </w:pPr>
          </w:p>
        </w:tc>
        <w:tc>
          <w:tcPr>
            <w:tcW w:w="10642" w:type="dxa"/>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与公司负责人沟通，已将</w:t>
            </w:r>
            <w:r>
              <w:rPr>
                <w:rFonts w:hint="eastAsia" w:ascii="宋体" w:hAnsi="宋体" w:eastAsia="宋体" w:cs="宋体"/>
                <w:sz w:val="24"/>
                <w:szCs w:val="24"/>
              </w:rPr>
              <w:t>公司管理体系范围为：由原范围：</w:t>
            </w: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E：工程机械变速箱、装载机变速箱及零部件、模具制造、精密铸造所涉及场所的相关环境管理活动</w:t>
            </w: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O：工程机械变速箱、装载机变速箱及零部件、模具制造、精密铸造所涉及场所的相关职业健康安全管理活动</w:t>
            </w: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变更为：</w:t>
            </w:r>
          </w:p>
          <w:p>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E：工程机械和叉车机械配件、变速箱壳体的铸造所涉及场所的相关环境管理活动。</w:t>
            </w:r>
          </w:p>
          <w:p>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O：工程机械和叉车机械配件、变速箱壳体的铸造所涉及场所的相关职业健康安全管理活动。</w:t>
            </w: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删减</w:t>
            </w:r>
            <w:r>
              <w:rPr>
                <w:rFonts w:hint="eastAsia" w:ascii="宋体" w:hAnsi="宋体" w:eastAsia="宋体" w:cs="宋体"/>
                <w:sz w:val="24"/>
                <w:szCs w:val="24"/>
                <w:lang w:val="en-US" w:eastAsia="zh-CN"/>
              </w:rPr>
              <w:t>了</w:t>
            </w:r>
            <w:r>
              <w:rPr>
                <w:rFonts w:hint="eastAsia" w:ascii="宋体" w:hAnsi="宋体" w:eastAsia="宋体" w:cs="宋体"/>
                <w:sz w:val="24"/>
                <w:szCs w:val="24"/>
              </w:rPr>
              <w:t>ISO9001：2015</w:t>
            </w:r>
            <w:r>
              <w:rPr>
                <w:rFonts w:hint="eastAsia" w:ascii="宋体" w:hAnsi="宋体" w:eastAsia="宋体" w:cs="宋体"/>
                <w:sz w:val="24"/>
                <w:szCs w:val="24"/>
                <w:lang w:val="en-US" w:eastAsia="zh-CN"/>
              </w:rPr>
              <w:t>标准</w:t>
            </w:r>
            <w:r>
              <w:rPr>
                <w:rFonts w:hint="eastAsia" w:ascii="宋体" w:hAnsi="宋体" w:eastAsia="宋体" w:cs="宋体"/>
                <w:sz w:val="24"/>
                <w:szCs w:val="24"/>
              </w:rPr>
              <w:t>8.3条款，因为本公司产品是根据国家及行业标准及顾客合同要求，并遵循相关法律法规及相关方要求等进行生产和销售，生产工艺成熟，生产稳定，没有产品设计开发过程，因此，标准条款“8.3产品和服务的设计和开发”不适用。且不适用8.3条款不影响本组织确保所提供的产品和服务合格的能力或责任，对增强顾客满意也不会产生影响。</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管理体系及其过程</w:t>
            </w:r>
          </w:p>
          <w:p>
            <w:pPr>
              <w:spacing w:line="280" w:lineRule="exact"/>
              <w:rPr>
                <w:rFonts w:hint="eastAsia" w:ascii="宋体" w:hAnsi="宋体" w:eastAsia="宋体" w:cs="宋体"/>
                <w:sz w:val="24"/>
                <w:szCs w:val="24"/>
              </w:rPr>
            </w:pP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lang w:eastAsia="zh-CN"/>
              </w:rPr>
              <w:t>EO</w:t>
            </w:r>
            <w:r>
              <w:rPr>
                <w:rFonts w:hint="eastAsia" w:ascii="宋体" w:hAnsi="宋体" w:eastAsia="宋体" w:cs="宋体"/>
                <w:sz w:val="24"/>
                <w:szCs w:val="24"/>
              </w:rPr>
              <w:t>4.4</w:t>
            </w:r>
          </w:p>
          <w:p>
            <w:pPr>
              <w:spacing w:line="280" w:lineRule="exact"/>
              <w:rPr>
                <w:rFonts w:hint="eastAsia" w:ascii="宋体" w:hAnsi="宋体" w:eastAsia="宋体" w:cs="宋体"/>
                <w:sz w:val="24"/>
                <w:szCs w:val="24"/>
              </w:rPr>
            </w:pPr>
          </w:p>
        </w:tc>
        <w:tc>
          <w:tcPr>
            <w:tcW w:w="10642" w:type="dxa"/>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月管理目标分解及完成情况记录。</w:t>
            </w: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与负责人交流：部门确定了满足与管理体系有关的客户及相关方的要求。</w:t>
            </w: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为能在公司范围内更好的应用质量/环境/职业健康安全管理体系及其过程方法，编制</w:t>
            </w:r>
            <w:r>
              <w:rPr>
                <w:rFonts w:hint="eastAsia" w:ascii="宋体" w:hAnsi="宋体" w:eastAsia="宋体" w:cs="宋体"/>
                <w:sz w:val="24"/>
                <w:szCs w:val="24"/>
                <w:lang w:val="en-US" w:eastAsia="zh-CN"/>
              </w:rPr>
              <w:t>有</w:t>
            </w:r>
            <w:r>
              <w:rPr>
                <w:rFonts w:hint="eastAsia" w:ascii="宋体" w:hAnsi="宋体" w:eastAsia="宋体" w:cs="宋体"/>
                <w:sz w:val="24"/>
                <w:szCs w:val="24"/>
              </w:rPr>
              <w:t>《管理手册》，作为公司质量管理的纲领性文件；编制</w:t>
            </w:r>
            <w:r>
              <w:rPr>
                <w:rFonts w:hint="eastAsia" w:ascii="宋体" w:hAnsi="宋体" w:eastAsia="宋体" w:cs="宋体"/>
                <w:sz w:val="24"/>
                <w:szCs w:val="24"/>
                <w:lang w:val="en-US" w:eastAsia="zh-CN"/>
              </w:rPr>
              <w:t>有</w:t>
            </w:r>
            <w:r>
              <w:rPr>
                <w:rFonts w:hint="eastAsia" w:ascii="宋体" w:hAnsi="宋体" w:eastAsia="宋体" w:cs="宋体"/>
                <w:sz w:val="24"/>
                <w:szCs w:val="24"/>
              </w:rPr>
              <w:t>《程序文件》，说明本公司内部质量/环境/职业健康安全体系运行的各过程及其之间的顺序和相互作用；编制各类支持性文件及记录表格等作为证明过程运行的证据。</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领导作用与承诺</w:t>
            </w:r>
          </w:p>
          <w:p>
            <w:pPr>
              <w:spacing w:line="280" w:lineRule="exact"/>
              <w:rPr>
                <w:rFonts w:hint="eastAsia" w:ascii="宋体" w:hAnsi="宋体" w:eastAsia="宋体" w:cs="宋体"/>
                <w:sz w:val="24"/>
                <w:szCs w:val="24"/>
              </w:rPr>
            </w:pP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lang w:eastAsia="zh-CN"/>
              </w:rPr>
              <w:t>EO</w:t>
            </w:r>
            <w:r>
              <w:rPr>
                <w:rFonts w:hint="eastAsia" w:ascii="宋体" w:hAnsi="宋体" w:eastAsia="宋体" w:cs="宋体"/>
                <w:sz w:val="24"/>
                <w:szCs w:val="24"/>
              </w:rPr>
              <w:t>5.1</w:t>
            </w:r>
          </w:p>
          <w:p>
            <w:pPr>
              <w:spacing w:line="280" w:lineRule="exact"/>
              <w:rPr>
                <w:rFonts w:hint="eastAsia" w:ascii="宋体" w:hAnsi="宋体" w:eastAsia="宋体" w:cs="宋体"/>
                <w:sz w:val="24"/>
                <w:szCs w:val="24"/>
              </w:rPr>
            </w:pPr>
          </w:p>
        </w:tc>
        <w:tc>
          <w:tcPr>
            <w:tcW w:w="10642" w:type="dxa"/>
            <w:vAlign w:val="center"/>
          </w:tcPr>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w:t>
            </w:r>
            <w:r>
              <w:rPr>
                <w:rFonts w:hint="eastAsia" w:ascii="宋体" w:hAnsi="宋体" w:eastAsia="宋体" w:cs="宋体"/>
                <w:sz w:val="24"/>
                <w:szCs w:val="24"/>
                <w:lang w:val="en-US" w:eastAsia="zh-CN"/>
              </w:rPr>
              <w:t>最高管理者</w:t>
            </w:r>
            <w:r>
              <w:rPr>
                <w:rFonts w:hint="eastAsia" w:ascii="宋体" w:hAnsi="宋体" w:eastAsia="宋体" w:cs="宋体"/>
                <w:sz w:val="24"/>
                <w:szCs w:val="24"/>
              </w:rPr>
              <w:t>介绍主要承诺有：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体系管理方面遵照“以顾客及相关方为导向”的经营思路，在本公司管理工作的各个环节中得到运用，通过以下活动，对其建立、实施和改进质量/环境/职业健康安全管理体系并持续改进其有效性的承诺提供证据：</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——在企业内部传达满足顾客和法律法规要求的重要性；</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——制定质量方针、环境方针和职业健康安全方针；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——确保质量目标、环境目标和职业健康安全方针的制定；</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——进行管理评审；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确保质量/安全/职业健康管理体系所需资源的配置和获得。在生产经营活动中，严格遵守当地政府的法律法规和其他要求，始终坚持“以人为本、科学发展”的经营理念。在任何情况下，公司均不会以牺牲人的生命、社会公众的利益和损害环境为代价换取经济利益。公司将健康、安全和环境作为整个生产经营活动的一部分，在决策、部署生产经营活动中的事项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——首先考虑环境和职业健康安全的要求，优先安排这方面的事宜；</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——持续保障环境和职业健康安全的投入，提供必需的资源；</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——持续治理事故隐患，为生产经营活动提供合格的安全生产条件；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——全面开展风险管理，及时识别作业场所和活动中的环境因素和危险源，将风险控制在可接受的程度；</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——全面推行环境和职业健康安全管理体系，持续提高管理绩效。各部门领导：</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——确保《管理手册》的内容在本部门得以坚决贯彻执行。</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——确保分管理职能工作正常运转，以保证本公司质量/安全/职业健康管理管理体系有效运行,并得到不断改进。</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——每年的上半年至少一次组织本部门环境和安全培训；</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——定期组织召开部门内部环境安全会议，留存会议记录；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——定期组织、参加环境和职业健康安全检查，留存检查、审核记录；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——制定个人环境安全行动计划，每年一次自评，并与下级就个人环境安全行动计划的完成情况进行沟通；</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——按《信息交流控制程序》开展安全观察与沟通，统计分析并提出改进建议；</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——通过常态化的安全经验分享活动，将事故事件案例作为一种资源，在员工中分享；</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确保员工的行为得到规范，防止和杜绝三违现象，监督和要求本部门员工严格遵守：严禁特种作业无有效操作证人员上岗操作；严禁违反操作规程操作；严禁无票证从事危险作业；严禁脱岗、睡岗和酒后上岗；严禁违章指挥、强令他人违章作业。</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40" w:lineRule="auto"/>
              <w:rPr>
                <w:rFonts w:hint="eastAsia" w:ascii="宋体" w:hAnsi="宋体" w:eastAsia="宋体" w:cs="宋体"/>
                <w:sz w:val="24"/>
                <w:szCs w:val="24"/>
              </w:rPr>
            </w:pPr>
            <w:r>
              <w:rPr>
                <w:rFonts w:hint="eastAsia" w:ascii="宋体" w:hAnsi="宋体" w:eastAsia="宋体" w:cs="宋体"/>
                <w:sz w:val="24"/>
                <w:szCs w:val="24"/>
              </w:rPr>
              <w:t>承诺基本实现，没有违反的情况发生。</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方针</w:t>
            </w:r>
          </w:p>
          <w:p>
            <w:pPr>
              <w:spacing w:line="280" w:lineRule="exact"/>
              <w:rPr>
                <w:rFonts w:hint="eastAsia" w:ascii="宋体" w:hAnsi="宋体" w:eastAsia="宋体" w:cs="宋体"/>
                <w:sz w:val="24"/>
                <w:szCs w:val="24"/>
              </w:rPr>
            </w:pPr>
            <w:r>
              <w:rPr>
                <w:rFonts w:hint="eastAsia" w:ascii="宋体" w:hAnsi="宋体" w:eastAsia="宋体" w:cs="宋体"/>
                <w:sz w:val="24"/>
                <w:szCs w:val="24"/>
              </w:rPr>
              <w:t>制定方针</w:t>
            </w:r>
          </w:p>
          <w:p>
            <w:pPr>
              <w:spacing w:line="280" w:lineRule="exact"/>
              <w:rPr>
                <w:rFonts w:hint="eastAsia" w:ascii="宋体" w:hAnsi="宋体" w:eastAsia="宋体" w:cs="宋体"/>
                <w:sz w:val="24"/>
                <w:szCs w:val="24"/>
              </w:rPr>
            </w:pPr>
            <w:r>
              <w:rPr>
                <w:rFonts w:hint="eastAsia" w:ascii="宋体" w:hAnsi="宋体" w:eastAsia="宋体" w:cs="宋体"/>
                <w:sz w:val="24"/>
                <w:szCs w:val="24"/>
              </w:rPr>
              <w:t>沟通方针</w:t>
            </w: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lang w:eastAsia="zh-CN"/>
              </w:rPr>
              <w:t>EO</w:t>
            </w:r>
            <w:r>
              <w:rPr>
                <w:rFonts w:hint="eastAsia" w:ascii="宋体" w:hAnsi="宋体" w:eastAsia="宋体" w:cs="宋体"/>
                <w:sz w:val="24"/>
                <w:szCs w:val="24"/>
              </w:rPr>
              <w:t>5.2</w:t>
            </w:r>
          </w:p>
          <w:p>
            <w:pPr>
              <w:snapToGrid w:val="0"/>
              <w:spacing w:line="280" w:lineRule="exact"/>
              <w:rPr>
                <w:rFonts w:hint="eastAsia" w:ascii="宋体" w:hAnsi="宋体" w:eastAsia="宋体" w:cs="宋体"/>
                <w:sz w:val="24"/>
                <w:szCs w:val="24"/>
              </w:rPr>
            </w:pPr>
          </w:p>
          <w:p>
            <w:pPr>
              <w:spacing w:line="280" w:lineRule="exact"/>
              <w:rPr>
                <w:rFonts w:hint="eastAsia" w:ascii="宋体" w:hAnsi="宋体" w:eastAsia="宋体" w:cs="宋体"/>
                <w:sz w:val="24"/>
                <w:szCs w:val="24"/>
              </w:rPr>
            </w:pPr>
          </w:p>
          <w:p>
            <w:pPr>
              <w:spacing w:line="280" w:lineRule="exact"/>
              <w:rPr>
                <w:rFonts w:hint="eastAsia" w:ascii="宋体" w:hAnsi="宋体" w:eastAsia="宋体" w:cs="宋体"/>
                <w:sz w:val="24"/>
                <w:szCs w:val="24"/>
              </w:rPr>
            </w:pPr>
          </w:p>
        </w:tc>
        <w:tc>
          <w:tcPr>
            <w:tcW w:w="10642" w:type="dxa"/>
            <w:vAlign w:val="center"/>
          </w:tcPr>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该公司质量、环境、职业健康安全方针：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质量为本 安全生产 遵规守法 污染预防 节能降耗 持续改进</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公司以质量、环境、职业健康安全标准为基础，结合公司实际特制定管理方针。与总经理进行交谈，总经理</w:t>
            </w:r>
            <w:r>
              <w:rPr>
                <w:rFonts w:hint="eastAsia" w:ascii="宋体" w:hAnsi="宋体" w:eastAsia="宋体" w:cs="宋体"/>
                <w:sz w:val="24"/>
                <w:szCs w:val="24"/>
                <w:lang w:eastAsia="zh-CN"/>
              </w:rPr>
              <w:t>董忠其</w:t>
            </w:r>
            <w:r>
              <w:rPr>
                <w:rFonts w:hint="eastAsia" w:ascii="宋体" w:hAnsi="宋体" w:eastAsia="宋体" w:cs="宋体"/>
                <w:sz w:val="24"/>
                <w:szCs w:val="24"/>
              </w:rPr>
              <w:t>对方针内涵的理解较深刻。方针能为制定目标提供框架，方针基本符合标准的要求。</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总经理用会议、文件等手段保证管理方针为全体员工理解并落实到工作中。总经理说管理评审时对方针的持续适宜性进行了评审，有评审记录。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以上管理方针通过文件、培训等形式将公司管理方针传达给所有为公司工作或代表公司的人员，相关方也可通过</w:t>
            </w:r>
            <w:r>
              <w:rPr>
                <w:rFonts w:hint="eastAsia" w:ascii="宋体" w:hAnsi="宋体" w:eastAsia="宋体" w:cs="宋体"/>
                <w:sz w:val="24"/>
                <w:szCs w:val="24"/>
                <w:lang w:eastAsia="zh-CN"/>
              </w:rPr>
              <w:t>综合办公室</w:t>
            </w:r>
            <w:r>
              <w:rPr>
                <w:rFonts w:hint="eastAsia" w:ascii="宋体" w:hAnsi="宋体" w:eastAsia="宋体" w:cs="宋体"/>
                <w:sz w:val="24"/>
                <w:szCs w:val="24"/>
              </w:rPr>
              <w:t>获取公司管理方针。</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组织的岗位、职责和权限</w:t>
            </w:r>
          </w:p>
          <w:p>
            <w:pPr>
              <w:spacing w:line="280" w:lineRule="exact"/>
              <w:rPr>
                <w:rFonts w:hint="eastAsia" w:ascii="宋体" w:hAnsi="宋体" w:eastAsia="宋体" w:cs="宋体"/>
                <w:sz w:val="24"/>
                <w:szCs w:val="24"/>
              </w:rPr>
            </w:pP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lang w:eastAsia="zh-CN"/>
              </w:rPr>
              <w:t>EO</w:t>
            </w:r>
            <w:r>
              <w:rPr>
                <w:rFonts w:hint="eastAsia" w:ascii="宋体" w:hAnsi="宋体" w:eastAsia="宋体" w:cs="宋体"/>
                <w:sz w:val="24"/>
                <w:szCs w:val="24"/>
              </w:rPr>
              <w:t>5.3</w:t>
            </w:r>
          </w:p>
          <w:p>
            <w:pPr>
              <w:spacing w:line="280" w:lineRule="exact"/>
              <w:rPr>
                <w:rFonts w:hint="eastAsia" w:ascii="宋体" w:hAnsi="宋体" w:eastAsia="宋体" w:cs="宋体"/>
                <w:sz w:val="24"/>
                <w:szCs w:val="24"/>
              </w:rPr>
            </w:pPr>
          </w:p>
        </w:tc>
        <w:tc>
          <w:tcPr>
            <w:tcW w:w="10642" w:type="dxa"/>
            <w:vAlign w:val="center"/>
          </w:tcPr>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hint="eastAsia" w:ascii="宋体" w:hAnsi="宋体" w:eastAsia="宋体" w:cs="宋体"/>
                <w:sz w:val="24"/>
                <w:szCs w:val="24"/>
                <w:lang w:val="en-US" w:eastAsia="zh-CN"/>
              </w:rPr>
              <w:t>董忠其</w:t>
            </w:r>
            <w:r>
              <w:rPr>
                <w:rFonts w:hint="eastAsia" w:ascii="宋体" w:hAnsi="宋体" w:eastAsia="宋体" w:cs="宋体"/>
                <w:sz w:val="24"/>
                <w:szCs w:val="24"/>
              </w:rPr>
              <w:t>为管理体系的管理者代表。其职责和权限规定如下：</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确保质量/环境和职业健康安全管理体系的建立、实施和保持；向总经理报告质量/环境和职业健康安全管理体系的业绩和任何改进的需求；采取适当措施，在整个组织内提高顾客要求的意识得到有效落实；负责质量/环境和职业健康安全管理体系的有关事宜与外部联络，协调内部体系的一切问题；确保管理体系相互协调、完整。</w:t>
            </w:r>
          </w:p>
          <w:p>
            <w:pPr>
              <w:spacing w:line="240" w:lineRule="auto"/>
              <w:ind w:firstLine="480" w:firstLineChars="200"/>
              <w:rPr>
                <w:rFonts w:hint="eastAsia" w:ascii="宋体" w:hAnsi="宋体" w:eastAsia="宋体" w:cs="宋体"/>
                <w:bCs w:val="0"/>
                <w:spacing w:val="0"/>
                <w:sz w:val="24"/>
                <w:szCs w:val="24"/>
              </w:rPr>
            </w:pPr>
            <w:r>
              <w:rPr>
                <w:rFonts w:hint="eastAsia" w:ascii="宋体" w:hAnsi="宋体" w:eastAsia="宋体" w:cs="宋体"/>
                <w:sz w:val="24"/>
                <w:szCs w:val="24"/>
              </w:rPr>
              <w:t>询问管代</w:t>
            </w:r>
            <w:r>
              <w:rPr>
                <w:rFonts w:hint="eastAsia" w:ascii="宋体" w:hAnsi="宋体" w:eastAsia="宋体" w:cs="宋体"/>
                <w:sz w:val="24"/>
                <w:szCs w:val="24"/>
                <w:lang w:val="en-US" w:eastAsia="zh-CN"/>
              </w:rPr>
              <w:t>董忠其</w:t>
            </w:r>
            <w:r>
              <w:rPr>
                <w:rFonts w:hint="eastAsia" w:ascii="宋体" w:hAnsi="宋体" w:eastAsia="宋体" w:cs="宋体"/>
                <w:sz w:val="24"/>
                <w:szCs w:val="24"/>
              </w:rPr>
              <w:t>职责回答正确。</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2023"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工作人员参与和协商</w:t>
            </w:r>
          </w:p>
        </w:tc>
        <w:tc>
          <w:tcPr>
            <w:tcW w:w="1149"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O5.4</w:t>
            </w:r>
          </w:p>
        </w:tc>
        <w:tc>
          <w:tcPr>
            <w:tcW w:w="10642" w:type="dxa"/>
            <w:vAlign w:val="center"/>
          </w:tcPr>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为协调、沟通公司的职业健康安全事务，保证公司职业健康安全管理体系的有效运行，公司任命</w:t>
            </w:r>
            <w:r>
              <w:rPr>
                <w:rFonts w:hint="eastAsia" w:ascii="宋体" w:hAnsi="宋体" w:eastAsia="宋体" w:cs="宋体"/>
                <w:sz w:val="24"/>
                <w:szCs w:val="24"/>
                <w:lang w:val="en-US" w:eastAsia="zh-CN"/>
              </w:rPr>
              <w:t>石强</w:t>
            </w:r>
            <w:r>
              <w:rPr>
                <w:rFonts w:hint="eastAsia" w:ascii="宋体" w:hAnsi="宋体" w:eastAsia="宋体" w:cs="宋体"/>
                <w:sz w:val="24"/>
                <w:szCs w:val="24"/>
              </w:rPr>
              <w:t>为公司员工代表，具体职责如下：</w:t>
            </w:r>
          </w:p>
          <w:p>
            <w:pPr>
              <w:pStyle w:val="7"/>
              <w:rPr>
                <w:rFonts w:hint="eastAsia" w:ascii="宋体" w:hAnsi="宋体" w:eastAsia="宋体" w:cs="宋体"/>
                <w:sz w:val="24"/>
                <w:szCs w:val="24"/>
              </w:rPr>
            </w:pPr>
            <w:r>
              <w:rPr>
                <w:rFonts w:hint="eastAsia" w:ascii="宋体" w:hAnsi="宋体" w:eastAsia="宋体" w:cs="宋体"/>
                <w:sz w:val="24"/>
                <w:szCs w:val="24"/>
              </w:rPr>
              <w:t>—职业健康安全事务代表在公司职业健康安全管理体系中代表员工履行以下职责： </w:t>
            </w:r>
          </w:p>
          <w:p>
            <w:pPr>
              <w:pStyle w:val="7"/>
              <w:rPr>
                <w:rFonts w:hint="eastAsia" w:ascii="宋体" w:hAnsi="宋体" w:eastAsia="宋体" w:cs="宋体"/>
                <w:sz w:val="24"/>
                <w:szCs w:val="24"/>
              </w:rPr>
            </w:pPr>
            <w:r>
              <w:rPr>
                <w:rFonts w:hint="eastAsia" w:ascii="宋体" w:hAnsi="宋体" w:eastAsia="宋体" w:cs="宋体"/>
                <w:sz w:val="24"/>
                <w:szCs w:val="24"/>
              </w:rPr>
              <w:t>—参与公司发展战略和资源配置等重大问题的协商讨论与审查，参与职业健康安全方针和目标的制订和评审； </w:t>
            </w:r>
          </w:p>
          <w:p>
            <w:pPr>
              <w:pStyle w:val="7"/>
              <w:rPr>
                <w:rFonts w:hint="eastAsia" w:ascii="宋体" w:hAnsi="宋体" w:eastAsia="宋体" w:cs="宋体"/>
                <w:sz w:val="24"/>
                <w:szCs w:val="24"/>
              </w:rPr>
            </w:pPr>
            <w:r>
              <w:rPr>
                <w:rFonts w:hint="eastAsia" w:ascii="宋体" w:hAnsi="宋体" w:eastAsia="宋体" w:cs="宋体"/>
                <w:sz w:val="24"/>
                <w:szCs w:val="24"/>
              </w:rPr>
              <w:t>—参与商讨影响工作场所职业健康安全的任何变化，在职业健康安全事务上收集和反映员工的意见，享有代表权；</w:t>
            </w:r>
          </w:p>
          <w:p>
            <w:pPr>
              <w:pStyle w:val="7"/>
              <w:rPr>
                <w:rFonts w:hint="eastAsia" w:ascii="宋体" w:hAnsi="宋体" w:eastAsia="宋体" w:cs="宋体"/>
                <w:sz w:val="24"/>
                <w:szCs w:val="24"/>
              </w:rPr>
            </w:pPr>
            <w:r>
              <w:rPr>
                <w:rFonts w:hint="eastAsia" w:ascii="宋体" w:hAnsi="宋体" w:eastAsia="宋体" w:cs="宋体"/>
                <w:sz w:val="24"/>
                <w:szCs w:val="24"/>
              </w:rPr>
              <w:t>—参与危险源辨识、风险评价和确定控制措施； </w:t>
            </w:r>
          </w:p>
          <w:p>
            <w:pPr>
              <w:pStyle w:val="7"/>
              <w:rPr>
                <w:rFonts w:hint="eastAsia" w:ascii="宋体" w:hAnsi="宋体" w:eastAsia="宋体" w:cs="宋体"/>
                <w:sz w:val="24"/>
                <w:szCs w:val="24"/>
              </w:rPr>
            </w:pPr>
            <w:r>
              <w:rPr>
                <w:rFonts w:hint="eastAsia" w:ascii="宋体" w:hAnsi="宋体" w:eastAsia="宋体" w:cs="宋体"/>
                <w:sz w:val="24"/>
                <w:szCs w:val="24"/>
              </w:rPr>
              <w:t>—参与职业健康安全管理方案和运行准则实施及适用法律法规遵守情况的监督与检查； </w:t>
            </w:r>
          </w:p>
          <w:p>
            <w:pPr>
              <w:pStyle w:val="7"/>
              <w:rPr>
                <w:rFonts w:hint="eastAsia" w:ascii="宋体" w:hAnsi="宋体" w:eastAsia="宋体" w:cs="宋体"/>
                <w:sz w:val="24"/>
                <w:szCs w:val="24"/>
              </w:rPr>
            </w:pPr>
            <w:r>
              <w:rPr>
                <w:rFonts w:hint="eastAsia" w:ascii="宋体" w:hAnsi="宋体" w:eastAsia="宋体" w:cs="宋体"/>
                <w:sz w:val="24"/>
                <w:szCs w:val="24"/>
              </w:rPr>
              <w:t>—参与事故、事件和职业病的调查与处理。</w:t>
            </w:r>
          </w:p>
          <w:p>
            <w:pPr>
              <w:pStyle w:val="7"/>
              <w:rPr>
                <w:rFonts w:hint="eastAsia" w:ascii="宋体" w:hAnsi="宋体" w:eastAsia="宋体" w:cs="宋体"/>
                <w:sz w:val="24"/>
                <w:szCs w:val="24"/>
              </w:rPr>
            </w:pPr>
            <w:r>
              <w:rPr>
                <w:rFonts w:hint="eastAsia" w:ascii="宋体" w:hAnsi="宋体" w:eastAsia="宋体" w:cs="宋体"/>
                <w:sz w:val="24"/>
                <w:szCs w:val="24"/>
              </w:rPr>
              <w:t>—参与审定不符合和处理措施方案，组织公司安全生产巡查，召开安全生产会议进行安全生产工作督察、奖惩。</w:t>
            </w:r>
          </w:p>
          <w:p>
            <w:pPr>
              <w:pStyle w:val="7"/>
              <w:rPr>
                <w:rFonts w:hint="eastAsia" w:ascii="宋体" w:hAnsi="宋体" w:eastAsia="宋体" w:cs="宋体"/>
                <w:sz w:val="24"/>
                <w:szCs w:val="24"/>
              </w:rPr>
            </w:pPr>
            <w:r>
              <w:rPr>
                <w:rFonts w:hint="eastAsia" w:ascii="宋体" w:hAnsi="宋体" w:eastAsia="宋体" w:cs="宋体"/>
                <w:sz w:val="24"/>
                <w:szCs w:val="24"/>
              </w:rPr>
              <w:t>—参与负责本单位的应急准备与响应工作，按规定对所产生的污染物进行管理控制，识别、遵守已确认的适用的环境法律、法规</w:t>
            </w:r>
          </w:p>
          <w:p>
            <w:pPr>
              <w:pStyle w:val="7"/>
              <w:rPr>
                <w:rFonts w:hint="eastAsia" w:ascii="宋体" w:hAnsi="宋体" w:eastAsia="宋体" w:cs="宋体"/>
                <w:sz w:val="24"/>
                <w:szCs w:val="24"/>
                <w:lang w:val="en-US" w:eastAsia="zh-CN"/>
              </w:rPr>
            </w:pPr>
            <w:r>
              <w:rPr>
                <w:rFonts w:hint="eastAsia" w:ascii="宋体" w:hAnsi="宋体" w:eastAsia="宋体" w:cs="宋体"/>
                <w:sz w:val="24"/>
                <w:szCs w:val="24"/>
              </w:rPr>
              <w:t>询问</w:t>
            </w:r>
            <w:r>
              <w:rPr>
                <w:rFonts w:hint="eastAsia" w:ascii="宋体" w:hAnsi="宋体" w:eastAsia="宋体" w:cs="宋体"/>
                <w:sz w:val="24"/>
                <w:szCs w:val="24"/>
                <w:lang w:val="en-US" w:eastAsia="zh-CN"/>
              </w:rPr>
              <w:t>员工代表石强</w:t>
            </w:r>
            <w:r>
              <w:rPr>
                <w:rFonts w:hint="eastAsia" w:ascii="宋体" w:hAnsi="宋体" w:eastAsia="宋体" w:cs="宋体"/>
                <w:sz w:val="24"/>
                <w:szCs w:val="24"/>
              </w:rPr>
              <w:t>职责回答正确。</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应对风险和机遇的措施</w:t>
            </w:r>
          </w:p>
          <w:p>
            <w:pPr>
              <w:spacing w:line="280" w:lineRule="exact"/>
              <w:rPr>
                <w:rFonts w:hint="eastAsia" w:ascii="宋体" w:hAnsi="宋体" w:eastAsia="宋体" w:cs="宋体"/>
                <w:sz w:val="24"/>
                <w:szCs w:val="24"/>
              </w:rPr>
            </w:pP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EO6.1</w:t>
            </w:r>
          </w:p>
          <w:p>
            <w:pPr>
              <w:spacing w:line="280" w:lineRule="exact"/>
              <w:rPr>
                <w:rFonts w:hint="eastAsia" w:ascii="宋体" w:hAnsi="宋体" w:eastAsia="宋体" w:cs="宋体"/>
                <w:sz w:val="24"/>
                <w:szCs w:val="24"/>
              </w:rPr>
            </w:pPr>
          </w:p>
          <w:p>
            <w:pPr>
              <w:spacing w:line="280" w:lineRule="exact"/>
              <w:rPr>
                <w:rFonts w:hint="eastAsia" w:ascii="宋体" w:hAnsi="宋体" w:eastAsia="宋体" w:cs="宋体"/>
                <w:sz w:val="24"/>
                <w:szCs w:val="24"/>
              </w:rPr>
            </w:pPr>
          </w:p>
        </w:tc>
        <w:tc>
          <w:tcPr>
            <w:tcW w:w="10642"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企业识别了如下分析：</w:t>
            </w:r>
          </w:p>
          <w:p>
            <w:pPr>
              <w:numPr>
                <w:ilvl w:val="0"/>
                <w:numId w:val="1"/>
              </w:numPr>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法律、法规内容的变化：风险：公司是是否充分及时收集评估，并转化为公司制度执行，符合新法规要求。 机遇：公司产品机构调整，给公司带来潜在的客户 </w:t>
            </w:r>
            <w:r>
              <w:rPr>
                <w:rFonts w:hint="eastAsia" w:ascii="宋体" w:hAnsi="宋体" w:eastAsia="宋体" w:cs="宋体"/>
                <w:sz w:val="24"/>
                <w:szCs w:val="24"/>
                <w:lang w:eastAsia="zh-CN"/>
              </w:rPr>
              <w:t>。</w:t>
            </w:r>
          </w:p>
          <w:p>
            <w:pPr>
              <w:numPr>
                <w:ilvl w:val="0"/>
                <w:numId w:val="1"/>
              </w:numPr>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技术风险</w:t>
            </w:r>
            <w:r>
              <w:rPr>
                <w:rFonts w:hint="eastAsia" w:ascii="宋体" w:hAnsi="宋体" w:eastAsia="宋体" w:cs="宋体"/>
                <w:sz w:val="24"/>
                <w:szCs w:val="24"/>
                <w:lang w:val="en-US" w:eastAsia="zh-CN"/>
              </w:rPr>
              <w:t>---</w:t>
            </w:r>
            <w:r>
              <w:rPr>
                <w:rFonts w:hint="eastAsia" w:ascii="宋体" w:hAnsi="宋体" w:eastAsia="宋体" w:cs="宋体"/>
                <w:sz w:val="24"/>
                <w:szCs w:val="24"/>
              </w:rPr>
              <w:t>新领域、新设备、新工艺风险：公司现有的工艺、设备如果比较落后，造成产品的成本较高，不符合环保要求材料无法取代，缺少市场竞争力。机遇：通过引进新的设备、工艺，提高公司的工艺水平，降低产品成本，提高公司的市场竞争力。</w:t>
            </w:r>
          </w:p>
          <w:p>
            <w:pPr>
              <w:numPr>
                <w:ilvl w:val="0"/>
                <w:numId w:val="1"/>
              </w:numPr>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ascii="宋体" w:hAnsi="宋体" w:eastAsia="宋体" w:cs="宋体"/>
                <w:sz w:val="24"/>
                <w:szCs w:val="24"/>
                <w:lang w:eastAsia="zh-CN"/>
              </w:rPr>
              <w:t>综合办公室</w:t>
            </w:r>
            <w:r>
              <w:rPr>
                <w:rFonts w:hint="eastAsia" w:ascii="宋体" w:hAnsi="宋体" w:eastAsia="宋体" w:cs="宋体"/>
                <w:sz w:val="24"/>
                <w:szCs w:val="24"/>
              </w:rPr>
              <w:t>负责管理人员的登记造册、技能培训、人员招聘等，并加大培训力度多方储备人才，防止因人员的流失而造成工作的停滞，造成损失。</w:t>
            </w:r>
          </w:p>
          <w:p>
            <w:pPr>
              <w:numPr>
                <w:ilvl w:val="0"/>
                <w:numId w:val="1"/>
              </w:numPr>
              <w:spacing w:line="24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来自市场的风险</w:t>
            </w:r>
            <w:r>
              <w:rPr>
                <w:rFonts w:hint="eastAsia" w:ascii="宋体" w:hAnsi="宋体" w:eastAsia="宋体" w:cs="宋体"/>
                <w:sz w:val="24"/>
                <w:szCs w:val="24"/>
                <w:lang w:eastAsia="zh-CN"/>
              </w:rPr>
              <w:t>：</w:t>
            </w:r>
            <w:r>
              <w:rPr>
                <w:rFonts w:hint="eastAsia" w:ascii="宋体" w:hAnsi="宋体" w:eastAsia="宋体" w:cs="宋体"/>
                <w:sz w:val="24"/>
                <w:szCs w:val="24"/>
              </w:rPr>
              <w:t>市场容量竞争力 价格风险</w:t>
            </w:r>
            <w:r>
              <w:rPr>
                <w:rFonts w:hint="eastAsia" w:ascii="宋体" w:hAnsi="宋体" w:eastAsia="宋体" w:cs="宋体"/>
                <w:sz w:val="24"/>
                <w:szCs w:val="24"/>
                <w:lang w:eastAsia="zh-CN"/>
              </w:rPr>
              <w:t>：风险：公司目前主要产品为通信设备类，但是产品市场容量毕竟有限，同时加上竞争对手的营销策略，对公司产品的竞争力和价格都产生比较大的压力，市场风险比较大。机遇：通过梳理公司产品，需找好的新的项目，同时促进公司内部的管理水平，保持质量领先，提高公司的竞争优势。</w:t>
            </w:r>
          </w:p>
          <w:p>
            <w:pPr>
              <w:spacing w:line="240" w:lineRule="auto"/>
              <w:rPr>
                <w:rFonts w:hint="eastAsia" w:ascii="宋体" w:hAnsi="宋体" w:eastAsia="宋体" w:cs="宋体"/>
                <w:sz w:val="24"/>
                <w:szCs w:val="24"/>
              </w:rPr>
            </w:pPr>
            <w:r>
              <w:rPr>
                <w:rFonts w:hint="eastAsia" w:ascii="宋体" w:hAnsi="宋体" w:eastAsia="宋体" w:cs="宋体"/>
                <w:sz w:val="24"/>
                <w:szCs w:val="24"/>
              </w:rPr>
              <w:t>风险评估结论：对于以上涉及到的主要风险，一旦发生，均可能对公司的发展造成巨大损失，所以我们应时刻监视并评价相关环境因素，尽可能的规避风险或降低发生概率。</w:t>
            </w:r>
          </w:p>
          <w:p>
            <w:pPr>
              <w:pStyle w:val="2"/>
              <w:spacing w:line="240" w:lineRule="auto"/>
              <w:rPr>
                <w:rFonts w:hint="eastAsia" w:ascii="宋体" w:hAnsi="宋体" w:eastAsia="宋体" w:cs="宋体"/>
                <w:sz w:val="24"/>
                <w:szCs w:val="24"/>
              </w:rPr>
            </w:pPr>
            <w:r>
              <w:rPr>
                <w:rFonts w:hint="eastAsia" w:ascii="宋体" w:hAnsi="宋体" w:eastAsia="宋体" w:cs="宋体"/>
                <w:sz w:val="24"/>
                <w:szCs w:val="24"/>
              </w:rPr>
              <w:t>企业制定了如下措施：</w:t>
            </w:r>
          </w:p>
          <w:p>
            <w:pPr>
              <w:numPr>
                <w:ilvl w:val="0"/>
                <w:numId w:val="2"/>
              </w:numPr>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针</w:t>
            </w:r>
            <w:r>
              <w:rPr>
                <w:rFonts w:hint="eastAsia" w:ascii="宋体" w:hAnsi="宋体" w:eastAsia="宋体" w:cs="宋体"/>
                <w:sz w:val="24"/>
                <w:szCs w:val="24"/>
                <w:lang w:val="en-US" w:eastAsia="zh-CN"/>
              </w:rPr>
              <w:t>对</w:t>
            </w:r>
            <w:r>
              <w:rPr>
                <w:rFonts w:hint="eastAsia" w:ascii="宋体" w:hAnsi="宋体" w:eastAsia="宋体" w:cs="宋体"/>
                <w:sz w:val="24"/>
                <w:szCs w:val="24"/>
              </w:rPr>
              <w:t>法律、法规内容的变化风险，主要职能部门按照要求定期收集评法律法规 。</w:t>
            </w:r>
          </w:p>
          <w:p>
            <w:pPr>
              <w:numPr>
                <w:ilvl w:val="0"/>
                <w:numId w:val="2"/>
              </w:numPr>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技术风险的应对，公司根据目前的技术水平，制定的技术攻关和设备改造计划，有关职能部门予以有效落实。</w:t>
            </w:r>
          </w:p>
          <w:p>
            <w:pPr>
              <w:numPr>
                <w:ilvl w:val="0"/>
                <w:numId w:val="2"/>
              </w:numPr>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管理风险的应对，加强公司团队的建设，争取公司的竞争力度，积极开拓市场业务，必要时增加公司的资质，例如进行管理体系的认证。</w:t>
            </w:r>
          </w:p>
          <w:p>
            <w:pPr>
              <w:numPr>
                <w:ilvl w:val="0"/>
                <w:numId w:val="2"/>
              </w:numPr>
              <w:spacing w:line="24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市场风险的应对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1）完善公司内部管理制度，加强部门的考核，提高公司管理水平，提高公司产品质量，保持竞争的优势； 2）积极开拓新产品市场，储备新的产品，提高市场容量。</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管理目标及其实现的策划</w:t>
            </w:r>
          </w:p>
          <w:p>
            <w:pPr>
              <w:spacing w:line="280" w:lineRule="exact"/>
              <w:rPr>
                <w:rFonts w:hint="eastAsia" w:ascii="宋体" w:hAnsi="宋体" w:eastAsia="宋体" w:cs="宋体"/>
                <w:sz w:val="24"/>
                <w:szCs w:val="24"/>
              </w:rPr>
            </w:pP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lang w:eastAsia="zh-CN"/>
              </w:rPr>
              <w:t>EO</w:t>
            </w:r>
            <w:r>
              <w:rPr>
                <w:rFonts w:hint="eastAsia" w:ascii="宋体" w:hAnsi="宋体" w:eastAsia="宋体" w:cs="宋体"/>
                <w:sz w:val="24"/>
                <w:szCs w:val="24"/>
              </w:rPr>
              <w:t>6.2</w:t>
            </w:r>
          </w:p>
          <w:p>
            <w:pPr>
              <w:spacing w:line="280" w:lineRule="exact"/>
              <w:rPr>
                <w:rFonts w:hint="eastAsia" w:ascii="宋体" w:hAnsi="宋体" w:eastAsia="宋体" w:cs="宋体"/>
                <w:sz w:val="24"/>
                <w:szCs w:val="24"/>
              </w:rPr>
            </w:pPr>
          </w:p>
        </w:tc>
        <w:tc>
          <w:tcPr>
            <w:tcW w:w="10642"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公司对管理体系所需的相关职能、层次和过程设定管理目标。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公司管理目标是：</w:t>
            </w:r>
          </w:p>
          <w:tbl>
            <w:tblPr>
              <w:tblStyle w:val="8"/>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1335"/>
              <w:gridCol w:w="18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809" w:type="dxa"/>
                  <w:vMerge w:val="restart"/>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环境、职业健康安全目标</w:t>
                  </w:r>
                </w:p>
              </w:tc>
              <w:tc>
                <w:tcPr>
                  <w:tcW w:w="4254"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考核（20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809" w:type="dxa"/>
                  <w:vMerge w:val="continue"/>
                  <w:noWrap w:val="0"/>
                  <w:vAlign w:val="center"/>
                </w:tcPr>
                <w:p>
                  <w:pPr>
                    <w:ind w:firstLine="480"/>
                    <w:jc w:val="center"/>
                    <w:rPr>
                      <w:rFonts w:hint="eastAsia" w:ascii="宋体" w:hAnsi="宋体" w:eastAsia="宋体" w:cs="宋体"/>
                      <w:b/>
                      <w:color w:val="000000"/>
                      <w:sz w:val="24"/>
                      <w:szCs w:val="24"/>
                    </w:rPr>
                  </w:pPr>
                </w:p>
              </w:tc>
              <w:tc>
                <w:tcPr>
                  <w:tcW w:w="133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考核情况</w:t>
                  </w:r>
                </w:p>
              </w:tc>
              <w:tc>
                <w:tcPr>
                  <w:tcW w:w="1857"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sz w:val="24"/>
                      <w:szCs w:val="24"/>
                    </w:rPr>
                    <w:t>考核时间</w:t>
                  </w:r>
                </w:p>
              </w:tc>
              <w:tc>
                <w:tcPr>
                  <w:tcW w:w="1062"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sz w:val="24"/>
                      <w:szCs w:val="24"/>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809" w:type="dxa"/>
                  <w:noWrap w:val="0"/>
                  <w:vAlign w:val="center"/>
                </w:tcPr>
                <w:p>
                  <w:pPr>
                    <w:spacing w:line="360" w:lineRule="exact"/>
                    <w:jc w:val="left"/>
                    <w:rPr>
                      <w:rFonts w:hint="eastAsia" w:ascii="宋体" w:hAnsi="宋体" w:eastAsia="宋体" w:cs="宋体"/>
                      <w:color w:val="000000"/>
                      <w:sz w:val="24"/>
                      <w:szCs w:val="24"/>
                    </w:rPr>
                  </w:pPr>
                  <w:r>
                    <w:rPr>
                      <w:rFonts w:hint="eastAsia" w:hAnsi="宋体"/>
                    </w:rPr>
                    <w:t>产品一次交验合格率≥95%</w:t>
                  </w:r>
                </w:p>
              </w:tc>
              <w:tc>
                <w:tcPr>
                  <w:tcW w:w="1335" w:type="dxa"/>
                  <w:noWrap w:val="0"/>
                  <w:vAlign w:val="center"/>
                </w:tcPr>
                <w:p>
                  <w:pPr>
                    <w:spacing w:line="360" w:lineRule="auto"/>
                    <w:jc w:val="center"/>
                    <w:rPr>
                      <w:rFonts w:hint="eastAsia" w:ascii="宋体" w:hAnsi="宋体" w:eastAsia="宋体" w:cs="宋体"/>
                      <w:sz w:val="24"/>
                      <w:szCs w:val="24"/>
                    </w:rPr>
                  </w:pPr>
                  <w:r>
                    <w:rPr>
                      <w:rFonts w:hint="eastAsia"/>
                    </w:rPr>
                    <w:t>9</w:t>
                  </w:r>
                  <w:r>
                    <w:rPr>
                      <w:rFonts w:hint="eastAsia"/>
                      <w:lang w:val="en-US" w:eastAsia="zh-CN"/>
                    </w:rPr>
                    <w:t>6</w:t>
                  </w:r>
                  <w:r>
                    <w:t>.5%</w:t>
                  </w:r>
                </w:p>
              </w:tc>
              <w:tc>
                <w:tcPr>
                  <w:tcW w:w="1857"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2022.1.5</w:t>
                  </w:r>
                </w:p>
              </w:tc>
              <w:tc>
                <w:tcPr>
                  <w:tcW w:w="1062" w:type="dxa"/>
                  <w:noWrap w:val="0"/>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董忠其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center"/>
                </w:tcPr>
                <w:p>
                  <w:pPr>
                    <w:jc w:val="left"/>
                    <w:rPr>
                      <w:rFonts w:hint="eastAsia" w:ascii="宋体" w:hAnsi="宋体" w:eastAsia="宋体" w:cs="宋体"/>
                      <w:color w:val="000000"/>
                      <w:sz w:val="24"/>
                      <w:szCs w:val="24"/>
                    </w:rPr>
                  </w:pPr>
                  <w:r>
                    <w:rPr>
                      <w:rFonts w:hint="eastAsia"/>
                    </w:rPr>
                    <w:t>顾客满意率≥90%</w:t>
                  </w:r>
                </w:p>
              </w:tc>
              <w:tc>
                <w:tcPr>
                  <w:tcW w:w="1335" w:type="dxa"/>
                  <w:noWrap w:val="0"/>
                  <w:vAlign w:val="center"/>
                </w:tcPr>
                <w:p>
                  <w:pPr>
                    <w:jc w:val="center"/>
                    <w:rPr>
                      <w:rFonts w:hint="eastAsia" w:ascii="宋体" w:hAnsi="宋体" w:eastAsia="宋体" w:cs="宋体"/>
                      <w:color w:val="000000"/>
                      <w:sz w:val="24"/>
                      <w:szCs w:val="24"/>
                    </w:rPr>
                  </w:pPr>
                  <w:r>
                    <w:rPr>
                      <w:rFonts w:hint="eastAsia"/>
                    </w:rPr>
                    <w:t>9</w:t>
                  </w:r>
                  <w:r>
                    <w:rPr>
                      <w:rFonts w:hint="eastAsia"/>
                      <w:lang w:val="en-US" w:eastAsia="zh-CN"/>
                    </w:rPr>
                    <w:t>5</w:t>
                  </w:r>
                  <w:r>
                    <w:t>%</w:t>
                  </w:r>
                </w:p>
              </w:tc>
              <w:tc>
                <w:tcPr>
                  <w:tcW w:w="1857"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2022.1.5</w:t>
                  </w:r>
                </w:p>
              </w:tc>
              <w:tc>
                <w:tcPr>
                  <w:tcW w:w="1062" w:type="dxa"/>
                  <w:noWrap w:val="0"/>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董忠其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center"/>
                </w:tcPr>
                <w:p>
                  <w:pPr>
                    <w:jc w:val="left"/>
                    <w:rPr>
                      <w:rFonts w:hint="eastAsia" w:ascii="宋体" w:hAnsi="宋体" w:eastAsia="宋体" w:cs="宋体"/>
                      <w:color w:val="000000"/>
                      <w:sz w:val="24"/>
                      <w:szCs w:val="24"/>
                    </w:rPr>
                  </w:pPr>
                  <w:r>
                    <w:rPr>
                      <w:rFonts w:hint="eastAsia"/>
                    </w:rPr>
                    <w:t>产生的固体废物全部综合利用，妥善处置，不外排；</w:t>
                  </w:r>
                </w:p>
              </w:tc>
              <w:tc>
                <w:tcPr>
                  <w:tcW w:w="1335" w:type="dxa"/>
                  <w:noWrap w:val="0"/>
                  <w:vAlign w:val="center"/>
                </w:tcPr>
                <w:p>
                  <w:pPr>
                    <w:jc w:val="center"/>
                    <w:rPr>
                      <w:rFonts w:hint="eastAsia" w:ascii="宋体" w:hAnsi="宋体" w:eastAsia="宋体" w:cs="宋体"/>
                      <w:color w:val="000000"/>
                      <w:sz w:val="24"/>
                      <w:szCs w:val="24"/>
                    </w:rPr>
                  </w:pPr>
                  <w:r>
                    <w:rPr>
                      <w:rFonts w:hint="eastAsia"/>
                    </w:rPr>
                    <w:t>1</w:t>
                  </w:r>
                  <w:r>
                    <w:t>00%</w:t>
                  </w:r>
                </w:p>
              </w:tc>
              <w:tc>
                <w:tcPr>
                  <w:tcW w:w="1857"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2022.1.5</w:t>
                  </w:r>
                </w:p>
              </w:tc>
              <w:tc>
                <w:tcPr>
                  <w:tcW w:w="1062" w:type="dxa"/>
                  <w:noWrap w:val="0"/>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董忠其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09" w:type="dxa"/>
                  <w:noWrap w:val="0"/>
                  <w:vAlign w:val="center"/>
                </w:tcPr>
                <w:p>
                  <w:pPr>
                    <w:jc w:val="left"/>
                    <w:rPr>
                      <w:rFonts w:hAnsi="宋体"/>
                    </w:rPr>
                  </w:pPr>
                  <w:r>
                    <w:rPr>
                      <w:rFonts w:hint="eastAsia" w:hAnsi="宋体"/>
                    </w:rPr>
                    <w:t>噪声达标排放</w:t>
                  </w:r>
                </w:p>
                <w:p>
                  <w:pPr>
                    <w:jc w:val="left"/>
                    <w:rPr>
                      <w:rFonts w:hint="eastAsia" w:ascii="宋体" w:hAnsi="宋体" w:eastAsia="宋体" w:cs="宋体"/>
                      <w:color w:val="000000"/>
                      <w:sz w:val="24"/>
                      <w:szCs w:val="24"/>
                    </w:rPr>
                  </w:pPr>
                  <w:r>
                    <w:rPr>
                      <w:rFonts w:hint="eastAsia"/>
                    </w:rPr>
                    <w:t>按GB12348-2008标准中3类区标准</w:t>
                  </w:r>
                </w:p>
              </w:tc>
              <w:tc>
                <w:tcPr>
                  <w:tcW w:w="1335" w:type="dxa"/>
                  <w:noWrap w:val="0"/>
                  <w:vAlign w:val="center"/>
                </w:tcPr>
                <w:p>
                  <w:pPr>
                    <w:jc w:val="center"/>
                    <w:rPr>
                      <w:rFonts w:hint="eastAsia" w:ascii="宋体" w:hAnsi="宋体" w:eastAsia="宋体" w:cs="宋体"/>
                      <w:color w:val="000000"/>
                      <w:sz w:val="24"/>
                      <w:szCs w:val="24"/>
                    </w:rPr>
                  </w:pPr>
                  <w:r>
                    <w:rPr>
                      <w:rFonts w:hint="eastAsia"/>
                    </w:rPr>
                    <w:t>达标</w:t>
                  </w:r>
                </w:p>
              </w:tc>
              <w:tc>
                <w:tcPr>
                  <w:tcW w:w="1857"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2022.1.5</w:t>
                  </w:r>
                </w:p>
              </w:tc>
              <w:tc>
                <w:tcPr>
                  <w:tcW w:w="1062" w:type="dxa"/>
                  <w:noWrap w:val="0"/>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董忠其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809" w:type="dxa"/>
                  <w:noWrap w:val="0"/>
                  <w:vAlign w:val="center"/>
                </w:tcPr>
                <w:p>
                  <w:pPr>
                    <w:jc w:val="left"/>
                    <w:rPr>
                      <w:rFonts w:hint="eastAsia" w:ascii="宋体" w:hAnsi="宋体" w:eastAsia="宋体" w:cs="宋体"/>
                      <w:sz w:val="24"/>
                      <w:szCs w:val="24"/>
                    </w:rPr>
                  </w:pPr>
                  <w:r>
                    <w:rPr>
                      <w:rFonts w:hint="eastAsia"/>
                    </w:rPr>
                    <w:t>火灾事件为0；</w:t>
                  </w:r>
                </w:p>
              </w:tc>
              <w:tc>
                <w:tcPr>
                  <w:tcW w:w="1335" w:type="dxa"/>
                  <w:noWrap w:val="0"/>
                  <w:vAlign w:val="center"/>
                </w:tcPr>
                <w:p>
                  <w:pPr>
                    <w:jc w:val="center"/>
                    <w:rPr>
                      <w:rFonts w:hint="eastAsia" w:ascii="宋体" w:hAnsi="宋体" w:eastAsia="宋体" w:cs="宋体"/>
                      <w:sz w:val="24"/>
                      <w:szCs w:val="24"/>
                      <w:lang w:val="en-US" w:eastAsia="zh-CN"/>
                    </w:rPr>
                  </w:pPr>
                  <w:r>
                    <w:rPr>
                      <w:rFonts w:hint="eastAsia"/>
                      <w:lang w:val="en-US" w:eastAsia="zh-CN"/>
                    </w:rPr>
                    <w:t>0</w:t>
                  </w:r>
                </w:p>
              </w:tc>
              <w:tc>
                <w:tcPr>
                  <w:tcW w:w="1857"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2022.1.5</w:t>
                  </w:r>
                </w:p>
              </w:tc>
              <w:tc>
                <w:tcPr>
                  <w:tcW w:w="1062" w:type="dxa"/>
                  <w:noWrap w:val="0"/>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董忠其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09" w:type="dxa"/>
                  <w:noWrap w:val="0"/>
                  <w:vAlign w:val="center"/>
                </w:tcPr>
                <w:p>
                  <w:pPr>
                    <w:jc w:val="left"/>
                    <w:rPr>
                      <w:rFonts w:hint="eastAsia" w:ascii="宋体" w:hAnsi="宋体" w:eastAsia="宋体" w:cs="宋体"/>
                      <w:sz w:val="24"/>
                      <w:szCs w:val="24"/>
                    </w:rPr>
                  </w:pPr>
                  <w:r>
                    <w:rPr>
                      <w:rFonts w:hint="eastAsia"/>
                    </w:rPr>
                    <w:t>重大人身伤害为0</w:t>
                  </w:r>
                </w:p>
              </w:tc>
              <w:tc>
                <w:tcPr>
                  <w:tcW w:w="1335" w:type="dxa"/>
                  <w:noWrap w:val="0"/>
                  <w:vAlign w:val="center"/>
                </w:tcPr>
                <w:p>
                  <w:pPr>
                    <w:jc w:val="center"/>
                    <w:rPr>
                      <w:rFonts w:hint="eastAsia" w:ascii="宋体" w:hAnsi="宋体" w:eastAsia="宋体" w:cs="宋体"/>
                      <w:sz w:val="24"/>
                      <w:szCs w:val="24"/>
                      <w:lang w:val="en-US" w:eastAsia="zh-CN"/>
                    </w:rPr>
                  </w:pPr>
                  <w:r>
                    <w:rPr>
                      <w:rFonts w:hint="eastAsia"/>
                      <w:lang w:val="en-US" w:eastAsia="zh-CN"/>
                    </w:rPr>
                    <w:t>0</w:t>
                  </w:r>
                </w:p>
              </w:tc>
              <w:tc>
                <w:tcPr>
                  <w:tcW w:w="1857"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2022.1.5</w:t>
                  </w:r>
                </w:p>
              </w:tc>
              <w:tc>
                <w:tcPr>
                  <w:tcW w:w="1062" w:type="dxa"/>
                  <w:noWrap w:val="0"/>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董忠其</w:t>
                  </w:r>
                </w:p>
              </w:tc>
            </w:tr>
          </w:tbl>
          <w:p>
            <w:pPr>
              <w:spacing w:line="240" w:lineRule="auto"/>
              <w:ind w:firstLine="480" w:firstLineChars="200"/>
              <w:rPr>
                <w:rFonts w:hint="eastAsia" w:ascii="宋体" w:hAnsi="宋体" w:eastAsia="宋体" w:cs="宋体"/>
                <w:sz w:val="24"/>
                <w:szCs w:val="24"/>
              </w:rPr>
            </w:pP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目标可测量，与公司管理方针一致。</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每年由</w:t>
            </w:r>
            <w:r>
              <w:rPr>
                <w:rFonts w:hint="eastAsia" w:ascii="宋体" w:hAnsi="宋体" w:eastAsia="宋体" w:cs="宋体"/>
                <w:sz w:val="24"/>
                <w:szCs w:val="24"/>
                <w:lang w:eastAsia="zh-CN"/>
              </w:rPr>
              <w:t>综合办公室</w:t>
            </w:r>
            <w:r>
              <w:rPr>
                <w:rFonts w:hint="eastAsia" w:ascii="宋体" w:hAnsi="宋体" w:eastAsia="宋体" w:cs="宋体"/>
                <w:sz w:val="24"/>
                <w:szCs w:val="24"/>
              </w:rPr>
              <w:t>按公司管理目标考核要求统计考核公司管理目标完成情况，提交管理评审会议。</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针对重要环境因素、不可接受风险制订了管理方案并予以实施，基本有效，详见</w:t>
            </w:r>
            <w:r>
              <w:rPr>
                <w:rFonts w:hint="eastAsia" w:ascii="宋体" w:hAnsi="宋体" w:eastAsia="宋体" w:cs="宋体"/>
                <w:sz w:val="24"/>
                <w:szCs w:val="24"/>
                <w:lang w:eastAsia="zh-CN"/>
              </w:rPr>
              <w:t>综合办公室</w:t>
            </w:r>
            <w:r>
              <w:rPr>
                <w:rFonts w:hint="eastAsia" w:ascii="宋体" w:hAnsi="宋体" w:eastAsia="宋体" w:cs="宋体"/>
                <w:sz w:val="24"/>
                <w:szCs w:val="24"/>
              </w:rPr>
              <w:t>该条款审核记录。</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资源、总则</w:t>
            </w:r>
          </w:p>
          <w:p>
            <w:pPr>
              <w:spacing w:line="280" w:lineRule="exact"/>
              <w:rPr>
                <w:rFonts w:hint="eastAsia" w:ascii="宋体" w:hAnsi="宋体" w:eastAsia="宋体" w:cs="宋体"/>
                <w:sz w:val="24"/>
                <w:szCs w:val="24"/>
              </w:rPr>
            </w:pP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EO7.1</w:t>
            </w:r>
          </w:p>
          <w:p>
            <w:pPr>
              <w:spacing w:line="280" w:lineRule="exact"/>
              <w:rPr>
                <w:rFonts w:hint="eastAsia" w:ascii="宋体" w:hAnsi="宋体" w:eastAsia="宋体" w:cs="宋体"/>
                <w:sz w:val="24"/>
                <w:szCs w:val="24"/>
              </w:rPr>
            </w:pPr>
          </w:p>
        </w:tc>
        <w:tc>
          <w:tcPr>
            <w:tcW w:w="10642"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查公司配备了必要的人力资源，基础设施，规范文件、资金等必要的资源，能够持续满足顾客需求和管理体系改进的需要。</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部门：</w:t>
            </w:r>
            <w:r>
              <w:rPr>
                <w:rFonts w:hint="eastAsia" w:ascii="宋体" w:hAnsi="宋体" w:eastAsia="宋体" w:cs="宋体"/>
                <w:sz w:val="24"/>
                <w:szCs w:val="24"/>
                <w:lang w:eastAsia="zh-CN"/>
              </w:rPr>
              <w:t>综合办公室、生产科、供销科</w:t>
            </w:r>
          </w:p>
          <w:p>
            <w:pPr>
              <w:pStyle w:val="2"/>
              <w:spacing w:line="240" w:lineRule="auto"/>
              <w:rPr>
                <w:rFonts w:hint="eastAsia" w:ascii="宋体" w:hAnsi="宋体" w:eastAsia="宋体" w:cs="宋体"/>
                <w:sz w:val="24"/>
                <w:szCs w:val="24"/>
              </w:rPr>
            </w:pPr>
            <w:r>
              <w:rPr>
                <w:rFonts w:hint="eastAsia" w:ascii="宋体" w:hAnsi="宋体" w:eastAsia="宋体" w:cs="宋体"/>
                <w:sz w:val="24"/>
                <w:szCs w:val="24"/>
              </w:rPr>
              <w:t>人员：办公人员、业务人员、财务人员、生产人员、质检人员</w:t>
            </w:r>
          </w:p>
          <w:p>
            <w:pPr>
              <w:spacing w:line="240" w:lineRule="auto"/>
              <w:rPr>
                <w:rStyle w:val="15"/>
                <w:rFonts w:hint="eastAsia" w:ascii="宋体" w:hAnsi="宋体" w:eastAsia="宋体" w:cs="宋体"/>
                <w:sz w:val="24"/>
                <w:szCs w:val="24"/>
                <w:shd w:val="clear" w:color="auto" w:fill="FFFFFF"/>
              </w:rPr>
            </w:pPr>
            <w:r>
              <w:rPr>
                <w:rStyle w:val="15"/>
                <w:rFonts w:hint="eastAsia" w:ascii="宋体" w:hAnsi="宋体" w:eastAsia="宋体" w:cs="宋体"/>
                <w:sz w:val="24"/>
                <w:szCs w:val="24"/>
                <w:shd w:val="clear" w:color="auto" w:fill="FFFFFF"/>
              </w:rPr>
              <w:t>办公设备：电脑、电话、打印机、传真机等</w:t>
            </w:r>
          </w:p>
          <w:p>
            <w:pPr>
              <w:pStyle w:val="2"/>
              <w:spacing w:line="240" w:lineRule="auto"/>
              <w:rPr>
                <w:rFonts w:hint="eastAsia" w:ascii="宋体" w:hAnsi="宋体" w:eastAsia="宋体" w:cs="宋体"/>
                <w:sz w:val="24"/>
                <w:szCs w:val="24"/>
              </w:rPr>
            </w:pPr>
            <w:r>
              <w:rPr>
                <w:rFonts w:hint="eastAsia" w:ascii="宋体" w:hAnsi="宋体" w:eastAsia="宋体" w:cs="宋体"/>
                <w:sz w:val="24"/>
                <w:szCs w:val="24"/>
              </w:rPr>
              <w:t>生产设备：冲天炉</w:t>
            </w:r>
            <w:r>
              <w:rPr>
                <w:rFonts w:hint="eastAsia" w:ascii="宋体" w:hAnsi="宋体" w:eastAsia="宋体" w:cs="宋体"/>
                <w:sz w:val="24"/>
                <w:szCs w:val="24"/>
                <w:lang w:val="en-US" w:eastAsia="zh-CN"/>
              </w:rPr>
              <w:t>、</w:t>
            </w:r>
            <w:r>
              <w:rPr>
                <w:rFonts w:hint="eastAsia" w:ascii="宋体" w:hAnsi="宋体" w:eastAsia="宋体" w:cs="宋体"/>
                <w:sz w:val="24"/>
                <w:szCs w:val="24"/>
              </w:rPr>
              <w:t>电炉</w:t>
            </w:r>
            <w:r>
              <w:rPr>
                <w:rFonts w:hint="eastAsia" w:ascii="宋体" w:hAnsi="宋体" w:eastAsia="宋体" w:cs="宋体"/>
                <w:sz w:val="24"/>
                <w:szCs w:val="24"/>
                <w:lang w:eastAsia="zh-CN"/>
              </w:rPr>
              <w:t>、</w:t>
            </w:r>
            <w:r>
              <w:rPr>
                <w:rFonts w:hint="eastAsia" w:ascii="宋体" w:hAnsi="宋体" w:eastAsia="宋体" w:cs="宋体"/>
                <w:sz w:val="24"/>
                <w:szCs w:val="24"/>
              </w:rPr>
              <w:t>催化燃烧风机</w:t>
            </w:r>
            <w:r>
              <w:rPr>
                <w:rFonts w:hint="eastAsia" w:ascii="宋体" w:hAnsi="宋体" w:eastAsia="宋体" w:cs="宋体"/>
                <w:sz w:val="24"/>
                <w:szCs w:val="24"/>
                <w:lang w:eastAsia="zh-CN"/>
              </w:rPr>
              <w:t>、</w:t>
            </w:r>
            <w:r>
              <w:rPr>
                <w:rFonts w:hint="eastAsia" w:ascii="宋体" w:hAnsi="宋体" w:eastAsia="宋体" w:cs="宋体"/>
                <w:sz w:val="24"/>
                <w:szCs w:val="24"/>
              </w:rPr>
              <w:t>铸铁机</w:t>
            </w:r>
            <w:r>
              <w:rPr>
                <w:rFonts w:hint="eastAsia" w:ascii="宋体" w:hAnsi="宋体" w:eastAsia="宋体" w:cs="宋体"/>
                <w:sz w:val="24"/>
                <w:szCs w:val="24"/>
                <w:lang w:eastAsia="zh-CN"/>
              </w:rPr>
              <w:t>、</w:t>
            </w:r>
            <w:r>
              <w:rPr>
                <w:rFonts w:hint="eastAsia" w:ascii="宋体" w:hAnsi="宋体" w:eastAsia="宋体" w:cs="宋体"/>
                <w:sz w:val="24"/>
                <w:szCs w:val="24"/>
              </w:rPr>
              <w:t>搅拌机</w:t>
            </w:r>
            <w:r>
              <w:rPr>
                <w:rFonts w:hint="eastAsia" w:ascii="宋体" w:hAnsi="宋体" w:eastAsia="宋体" w:cs="宋体"/>
                <w:sz w:val="24"/>
                <w:szCs w:val="24"/>
                <w:lang w:eastAsia="zh-CN"/>
              </w:rPr>
              <w:t>、</w:t>
            </w:r>
            <w:r>
              <w:rPr>
                <w:rFonts w:hint="eastAsia" w:ascii="宋体" w:hAnsi="宋体" w:eastAsia="宋体" w:cs="宋体"/>
                <w:sz w:val="24"/>
                <w:szCs w:val="24"/>
              </w:rPr>
              <w:t>冷却塔</w:t>
            </w:r>
            <w:r>
              <w:rPr>
                <w:rFonts w:hint="eastAsia" w:ascii="宋体" w:hAnsi="宋体" w:eastAsia="宋体" w:cs="宋体"/>
                <w:sz w:val="24"/>
                <w:szCs w:val="24"/>
                <w:lang w:eastAsia="zh-CN"/>
              </w:rPr>
              <w:t>、</w:t>
            </w:r>
            <w:r>
              <w:rPr>
                <w:rFonts w:hint="eastAsia" w:ascii="宋体" w:hAnsi="宋体" w:eastAsia="宋体" w:cs="宋体"/>
                <w:sz w:val="24"/>
                <w:szCs w:val="24"/>
              </w:rPr>
              <w:t>发砂罐</w:t>
            </w:r>
            <w:r>
              <w:rPr>
                <w:rFonts w:hint="eastAsia" w:ascii="宋体" w:hAnsi="宋体" w:eastAsia="宋体" w:cs="宋体"/>
                <w:sz w:val="24"/>
                <w:szCs w:val="24"/>
                <w:lang w:eastAsia="zh-CN"/>
              </w:rPr>
              <w:t>、</w:t>
            </w:r>
            <w:r>
              <w:rPr>
                <w:rFonts w:hint="eastAsia" w:ascii="宋体" w:hAnsi="宋体" w:eastAsia="宋体" w:cs="宋体"/>
                <w:sz w:val="24"/>
                <w:szCs w:val="24"/>
              </w:rPr>
              <w:t>抛丸机</w:t>
            </w:r>
            <w:r>
              <w:rPr>
                <w:rFonts w:hint="eastAsia" w:ascii="宋体" w:hAnsi="宋体" w:eastAsia="宋体" w:cs="宋体"/>
                <w:sz w:val="24"/>
                <w:szCs w:val="24"/>
                <w:lang w:eastAsia="zh-CN"/>
              </w:rPr>
              <w:t>、</w:t>
            </w:r>
            <w:r>
              <w:rPr>
                <w:rFonts w:hint="eastAsia" w:ascii="宋体" w:hAnsi="宋体" w:eastAsia="宋体" w:cs="宋体"/>
                <w:sz w:val="24"/>
                <w:szCs w:val="24"/>
              </w:rPr>
              <w:t>混砂机等</w:t>
            </w:r>
          </w:p>
          <w:p>
            <w:pPr>
              <w:pStyle w:val="2"/>
              <w:spacing w:line="240" w:lineRule="auto"/>
              <w:rPr>
                <w:rStyle w:val="15"/>
                <w:rFonts w:hint="eastAsia" w:ascii="宋体" w:hAnsi="宋体" w:eastAsia="宋体" w:cs="宋体"/>
                <w:bCs w:val="0"/>
                <w:spacing w:val="0"/>
                <w:sz w:val="24"/>
                <w:szCs w:val="24"/>
                <w:shd w:val="clear" w:color="auto" w:fill="FFFFFF"/>
                <w:lang w:val="en-US" w:eastAsia="zh-CN"/>
              </w:rPr>
            </w:pPr>
            <w:r>
              <w:rPr>
                <w:rStyle w:val="15"/>
                <w:rFonts w:hint="eastAsia" w:ascii="宋体" w:hAnsi="宋体" w:eastAsia="宋体" w:cs="宋体"/>
                <w:bCs w:val="0"/>
                <w:spacing w:val="0"/>
                <w:sz w:val="24"/>
                <w:szCs w:val="24"/>
                <w:shd w:val="clear" w:color="auto" w:fill="FFFFFF"/>
              </w:rPr>
              <w:t>环保设备：</w:t>
            </w:r>
            <w:r>
              <w:rPr>
                <w:rStyle w:val="15"/>
                <w:rFonts w:hint="eastAsia" w:ascii="宋体" w:hAnsi="宋体" w:eastAsia="宋体" w:cs="宋体"/>
                <w:bCs w:val="0"/>
                <w:spacing w:val="0"/>
                <w:sz w:val="24"/>
                <w:szCs w:val="24"/>
                <w:shd w:val="clear" w:color="auto" w:fill="FFFFFF"/>
              </w:rPr>
              <w:tab/>
            </w:r>
            <w:r>
              <w:rPr>
                <w:rStyle w:val="15"/>
                <w:rFonts w:hint="eastAsia" w:ascii="宋体" w:hAnsi="宋体" w:eastAsia="宋体" w:cs="宋体"/>
                <w:bCs w:val="0"/>
                <w:spacing w:val="0"/>
                <w:sz w:val="24"/>
                <w:szCs w:val="24"/>
                <w:shd w:val="clear" w:color="auto" w:fill="FFFFFF"/>
              </w:rPr>
              <w:t>冲天炉上料除尘风机</w:t>
            </w:r>
            <w:r>
              <w:rPr>
                <w:rStyle w:val="15"/>
                <w:rFonts w:hint="eastAsia" w:ascii="宋体" w:hAnsi="宋体" w:eastAsia="宋体" w:cs="宋体"/>
                <w:bCs w:val="0"/>
                <w:spacing w:val="0"/>
                <w:sz w:val="24"/>
                <w:szCs w:val="24"/>
                <w:shd w:val="clear" w:color="auto" w:fill="FFFFFF"/>
                <w:lang w:eastAsia="zh-CN"/>
              </w:rPr>
              <w:t>、</w:t>
            </w:r>
            <w:r>
              <w:rPr>
                <w:rStyle w:val="15"/>
                <w:rFonts w:hint="eastAsia" w:ascii="宋体" w:hAnsi="宋体" w:eastAsia="宋体" w:cs="宋体"/>
                <w:bCs w:val="0"/>
                <w:spacing w:val="0"/>
                <w:sz w:val="24"/>
                <w:szCs w:val="24"/>
                <w:shd w:val="clear" w:color="auto" w:fill="FFFFFF"/>
              </w:rPr>
              <w:t>冲天炉炉前除尘风机</w:t>
            </w:r>
            <w:r>
              <w:rPr>
                <w:rStyle w:val="15"/>
                <w:rFonts w:hint="eastAsia" w:ascii="宋体" w:hAnsi="宋体" w:eastAsia="宋体" w:cs="宋体"/>
                <w:bCs w:val="0"/>
                <w:spacing w:val="0"/>
                <w:sz w:val="24"/>
                <w:szCs w:val="24"/>
                <w:shd w:val="clear" w:color="auto" w:fill="FFFFFF"/>
                <w:lang w:val="en-US" w:eastAsia="zh-CN"/>
              </w:rPr>
              <w:t>、</w:t>
            </w:r>
            <w:r>
              <w:rPr>
                <w:rFonts w:hint="eastAsia" w:ascii="宋体" w:hAnsi="宋体" w:eastAsia="宋体" w:cs="宋体"/>
                <w:sz w:val="24"/>
                <w:szCs w:val="24"/>
              </w:rPr>
              <w:t>电炉除尘风机</w:t>
            </w:r>
            <w:r>
              <w:rPr>
                <w:rFonts w:hint="eastAsia" w:ascii="宋体" w:hAnsi="宋体" w:eastAsia="宋体" w:cs="宋体"/>
                <w:sz w:val="24"/>
                <w:szCs w:val="24"/>
                <w:lang w:eastAsia="zh-CN"/>
              </w:rPr>
              <w:t>、</w:t>
            </w:r>
            <w:r>
              <w:rPr>
                <w:rFonts w:hint="eastAsia" w:ascii="宋体" w:hAnsi="宋体" w:eastAsia="宋体" w:cs="宋体"/>
                <w:sz w:val="24"/>
                <w:szCs w:val="24"/>
              </w:rPr>
              <w:t>移动除尘器</w:t>
            </w:r>
            <w:r>
              <w:rPr>
                <w:rFonts w:hint="eastAsia" w:ascii="宋体" w:hAnsi="宋体" w:eastAsia="宋体" w:cs="宋体"/>
                <w:sz w:val="24"/>
                <w:szCs w:val="24"/>
                <w:lang w:eastAsia="zh-CN"/>
              </w:rPr>
              <w:t>、</w:t>
            </w:r>
            <w:r>
              <w:rPr>
                <w:rFonts w:hint="eastAsia" w:ascii="宋体" w:hAnsi="宋体" w:eastAsia="宋体" w:cs="宋体"/>
                <w:sz w:val="24"/>
                <w:szCs w:val="24"/>
              </w:rPr>
              <w:t>打磨除尘风机</w:t>
            </w:r>
            <w:r>
              <w:rPr>
                <w:rFonts w:hint="eastAsia" w:ascii="宋体" w:hAnsi="宋体" w:eastAsia="宋体" w:cs="宋体"/>
                <w:sz w:val="24"/>
                <w:szCs w:val="24"/>
                <w:lang w:val="en-US" w:eastAsia="zh-CN"/>
              </w:rPr>
              <w:t>等</w:t>
            </w:r>
            <w:r>
              <w:rPr>
                <w:rFonts w:hint="eastAsia" w:ascii="宋体" w:hAnsi="宋体" w:eastAsia="宋体" w:cs="宋体"/>
                <w:sz w:val="24"/>
                <w:szCs w:val="24"/>
              </w:rPr>
              <w:tab/>
            </w:r>
          </w:p>
          <w:p>
            <w:pPr>
              <w:pStyle w:val="2"/>
              <w:spacing w:line="240" w:lineRule="auto"/>
              <w:rPr>
                <w:rStyle w:val="15"/>
                <w:rFonts w:hint="eastAsia" w:ascii="宋体" w:hAnsi="宋体" w:eastAsia="宋体" w:cs="宋体"/>
                <w:bCs w:val="0"/>
                <w:spacing w:val="0"/>
                <w:sz w:val="24"/>
                <w:szCs w:val="24"/>
                <w:shd w:val="clear" w:color="auto" w:fill="FFFFFF"/>
                <w:lang w:eastAsia="zh-CN"/>
              </w:rPr>
            </w:pPr>
            <w:r>
              <w:rPr>
                <w:rStyle w:val="15"/>
                <w:rFonts w:hint="eastAsia" w:ascii="宋体" w:hAnsi="宋体" w:eastAsia="宋体" w:cs="宋体"/>
                <w:bCs w:val="0"/>
                <w:spacing w:val="0"/>
                <w:sz w:val="24"/>
                <w:szCs w:val="24"/>
                <w:shd w:val="clear" w:color="auto" w:fill="FFFFFF"/>
              </w:rPr>
              <w:t>消防设施：消防栓、灭火器等</w:t>
            </w:r>
            <w:r>
              <w:rPr>
                <w:rStyle w:val="15"/>
                <w:rFonts w:hint="eastAsia" w:ascii="宋体" w:hAnsi="宋体" w:cs="宋体"/>
                <w:bCs w:val="0"/>
                <w:spacing w:val="0"/>
                <w:sz w:val="24"/>
                <w:szCs w:val="24"/>
                <w:shd w:val="clear" w:color="auto" w:fill="FFFFFF"/>
                <w:lang w:eastAsia="zh-CN"/>
              </w:rPr>
              <w:t>。</w:t>
            </w:r>
            <w:bookmarkStart w:id="2" w:name="_GoBack"/>
            <w:bookmarkEnd w:id="2"/>
          </w:p>
          <w:p>
            <w:pPr>
              <w:pStyle w:val="2"/>
              <w:spacing w:line="240" w:lineRule="auto"/>
              <w:rPr>
                <w:rStyle w:val="15"/>
                <w:rFonts w:hint="eastAsia" w:ascii="宋体" w:hAnsi="宋体" w:cs="宋体"/>
                <w:bCs w:val="0"/>
                <w:spacing w:val="0"/>
                <w:sz w:val="24"/>
                <w:szCs w:val="24"/>
                <w:shd w:val="clear" w:color="auto" w:fill="FFFFFF"/>
                <w:lang w:val="en-US" w:eastAsia="zh-CN"/>
              </w:rPr>
            </w:pPr>
            <w:r>
              <w:rPr>
                <w:rStyle w:val="15"/>
                <w:rFonts w:hint="eastAsia" w:ascii="宋体" w:hAnsi="宋体" w:cs="宋体"/>
                <w:bCs w:val="0"/>
                <w:spacing w:val="0"/>
                <w:sz w:val="24"/>
                <w:szCs w:val="24"/>
                <w:shd w:val="clear" w:color="auto" w:fill="FFFFFF"/>
                <w:lang w:val="en-US" w:eastAsia="zh-CN"/>
              </w:rPr>
              <w:t>提供，由安徽新环宇检测技术服务有限公司出具的：编号[车字]20211229007，2021年12月29日叉车《检验报告》、编号[车字] 20211026010，2021年10月26日 叉车《检验报告》、编号[车字]202112280172021.12.28日叉车《检验报告》，检测结果，满足要求，见附件；</w:t>
            </w:r>
          </w:p>
          <w:p>
            <w:pPr>
              <w:pStyle w:val="2"/>
              <w:spacing w:line="240" w:lineRule="auto"/>
              <w:rPr>
                <w:rStyle w:val="15"/>
                <w:rFonts w:hint="default" w:ascii="宋体" w:hAnsi="宋体" w:cs="宋体"/>
                <w:bCs w:val="0"/>
                <w:spacing w:val="0"/>
                <w:sz w:val="24"/>
                <w:szCs w:val="24"/>
                <w:shd w:val="clear" w:color="auto" w:fill="FFFFFF"/>
                <w:lang w:val="en-US" w:eastAsia="zh-CN"/>
              </w:rPr>
            </w:pPr>
            <w:r>
              <w:rPr>
                <w:rStyle w:val="15"/>
                <w:rFonts w:hint="eastAsia" w:ascii="宋体" w:hAnsi="宋体" w:cs="宋体"/>
                <w:bCs w:val="0"/>
                <w:spacing w:val="0"/>
                <w:sz w:val="24"/>
                <w:szCs w:val="24"/>
                <w:shd w:val="clear" w:color="auto" w:fill="FFFFFF"/>
                <w:lang w:val="en-US" w:eastAsia="zh-CN"/>
              </w:rPr>
              <w:drawing>
                <wp:anchor distT="0" distB="0" distL="114300" distR="114300" simplePos="0" relativeHeight="251659264" behindDoc="0" locked="0" layoutInCell="1" allowOverlap="1">
                  <wp:simplePos x="0" y="0"/>
                  <wp:positionH relativeFrom="column">
                    <wp:posOffset>4197350</wp:posOffset>
                  </wp:positionH>
                  <wp:positionV relativeFrom="paragraph">
                    <wp:posOffset>265430</wp:posOffset>
                  </wp:positionV>
                  <wp:extent cx="1991995" cy="3079115"/>
                  <wp:effectExtent l="0" t="0" r="1905" b="6985"/>
                  <wp:wrapNone/>
                  <wp:docPr id="3" name="图片 3" descr="88704860ca04b61f48bde7bb34dc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8704860ca04b61f48bde7bb34dcc46"/>
                          <pic:cNvPicPr>
                            <a:picLocks noChangeAspect="1"/>
                          </pic:cNvPicPr>
                        </pic:nvPicPr>
                        <pic:blipFill>
                          <a:blip r:embed="rId6"/>
                          <a:stretch>
                            <a:fillRect/>
                          </a:stretch>
                        </pic:blipFill>
                        <pic:spPr>
                          <a:xfrm>
                            <a:off x="0" y="0"/>
                            <a:ext cx="1991995" cy="3079115"/>
                          </a:xfrm>
                          <a:prstGeom prst="rect">
                            <a:avLst/>
                          </a:prstGeom>
                        </pic:spPr>
                      </pic:pic>
                    </a:graphicData>
                  </a:graphic>
                </wp:anchor>
              </w:drawing>
            </w:r>
            <w:r>
              <w:rPr>
                <w:rStyle w:val="15"/>
                <w:rFonts w:hint="eastAsia" w:ascii="宋体" w:hAnsi="宋体" w:cs="宋体"/>
                <w:bCs w:val="0"/>
                <w:spacing w:val="0"/>
                <w:sz w:val="24"/>
                <w:szCs w:val="24"/>
                <w:shd w:val="clear" w:color="auto" w:fill="FFFFFF"/>
                <w:lang w:val="en-US" w:eastAsia="zh-CN"/>
              </w:rPr>
              <w:t>提供，由安徽新环宇检测技术服务有限公司出具的铲车《检测报告》两份，检测结果，满足要求，见附件；</w:t>
            </w:r>
          </w:p>
          <w:p>
            <w:pPr>
              <w:pStyle w:val="2"/>
              <w:spacing w:line="240" w:lineRule="auto"/>
              <w:rPr>
                <w:rStyle w:val="15"/>
                <w:rFonts w:hint="eastAsia" w:ascii="宋体" w:hAnsi="宋体" w:cs="宋体"/>
                <w:bCs w:val="0"/>
                <w:spacing w:val="0"/>
                <w:sz w:val="24"/>
                <w:szCs w:val="24"/>
                <w:shd w:val="clear" w:color="auto" w:fill="FFFFFF"/>
                <w:lang w:val="en-US" w:eastAsia="zh-CN"/>
              </w:rPr>
            </w:pPr>
            <w:r>
              <w:rPr>
                <w:rStyle w:val="15"/>
                <w:rFonts w:hint="eastAsia" w:ascii="宋体" w:hAnsi="宋体" w:cs="宋体"/>
                <w:bCs w:val="0"/>
                <w:spacing w:val="0"/>
                <w:sz w:val="24"/>
                <w:szCs w:val="24"/>
                <w:shd w:val="clear" w:color="auto" w:fill="FFFFFF"/>
                <w:lang w:val="en-US" w:eastAsia="zh-CN"/>
              </w:rPr>
              <w:t>提供，20台行车《河北省特种设备企业服务平台》检验申请</w:t>
            </w:r>
          </w:p>
          <w:p>
            <w:pPr>
              <w:pStyle w:val="2"/>
              <w:spacing w:line="240" w:lineRule="auto"/>
              <w:rPr>
                <w:rStyle w:val="15"/>
                <w:rFonts w:hint="default" w:ascii="宋体" w:hAnsi="宋体" w:cs="宋体"/>
                <w:bCs w:val="0"/>
                <w:spacing w:val="0"/>
                <w:sz w:val="24"/>
                <w:szCs w:val="24"/>
                <w:shd w:val="clear" w:color="auto" w:fill="FFFFFF"/>
                <w:lang w:val="en-US" w:eastAsia="zh-CN"/>
              </w:rPr>
            </w:pPr>
            <w:r>
              <w:rPr>
                <w:rStyle w:val="15"/>
                <w:rFonts w:hint="eastAsia" w:ascii="宋体" w:hAnsi="宋体" w:cs="宋体"/>
                <w:bCs w:val="0"/>
                <w:spacing w:val="0"/>
                <w:sz w:val="24"/>
                <w:szCs w:val="24"/>
                <w:shd w:val="clear" w:color="auto" w:fill="FFFFFF"/>
                <w:lang w:val="en-US" w:eastAsia="zh-CN"/>
              </w:rPr>
              <w:t>记录，行车经2022.2.21检测，《特种设备检验意见通知书》，</w:t>
            </w:r>
          </w:p>
          <w:p>
            <w:pPr>
              <w:pStyle w:val="2"/>
              <w:spacing w:line="240" w:lineRule="auto"/>
              <w:rPr>
                <w:rStyle w:val="15"/>
                <w:rFonts w:hint="eastAsia" w:ascii="宋体" w:hAnsi="宋体" w:cs="宋体"/>
                <w:bCs w:val="0"/>
                <w:spacing w:val="0"/>
                <w:sz w:val="24"/>
                <w:szCs w:val="24"/>
                <w:shd w:val="clear" w:color="auto" w:fill="FFFFFF"/>
                <w:lang w:val="en-US" w:eastAsia="zh-CN"/>
              </w:rPr>
            </w:pPr>
            <w:r>
              <w:rPr>
                <w:rStyle w:val="15"/>
                <w:rFonts w:hint="eastAsia" w:ascii="宋体" w:hAnsi="宋体" w:cs="宋体"/>
                <w:bCs w:val="0"/>
                <w:spacing w:val="0"/>
                <w:sz w:val="24"/>
                <w:szCs w:val="24"/>
                <w:shd w:val="clear" w:color="auto" w:fill="FFFFFF"/>
                <w:lang w:val="en-US" w:eastAsia="zh-CN"/>
              </w:rPr>
              <w:t>初步结论:</w:t>
            </w:r>
          </w:p>
          <w:p>
            <w:pPr>
              <w:pStyle w:val="2"/>
              <w:spacing w:line="240" w:lineRule="auto"/>
              <w:rPr>
                <w:rStyle w:val="15"/>
                <w:rFonts w:hint="eastAsia" w:ascii="宋体" w:hAnsi="宋体" w:cs="宋体"/>
                <w:bCs w:val="0"/>
                <w:spacing w:val="0"/>
                <w:sz w:val="24"/>
                <w:szCs w:val="24"/>
                <w:shd w:val="clear" w:color="auto" w:fill="FFFFFF"/>
                <w:lang w:val="en-US" w:eastAsia="zh-CN"/>
              </w:rPr>
            </w:pPr>
            <w:r>
              <w:rPr>
                <w:rStyle w:val="15"/>
                <w:rFonts w:hint="eastAsia" w:ascii="宋体" w:hAnsi="宋体" w:cs="宋体"/>
                <w:bCs w:val="0"/>
                <w:spacing w:val="0"/>
                <w:sz w:val="24"/>
                <w:szCs w:val="24"/>
                <w:shd w:val="clear" w:color="auto" w:fill="FFFFFF"/>
                <w:lang w:val="en-US" w:eastAsia="zh-CN"/>
              </w:rPr>
              <w:t>经检验，初步结论为合格，上述所检设 备允许使用。</w:t>
            </w:r>
          </w:p>
          <w:p>
            <w:pPr>
              <w:pStyle w:val="2"/>
              <w:spacing w:line="240" w:lineRule="auto"/>
              <w:rPr>
                <w:rStyle w:val="15"/>
                <w:rFonts w:hint="eastAsia" w:ascii="宋体" w:hAnsi="宋体" w:cs="宋体"/>
                <w:bCs w:val="0"/>
                <w:spacing w:val="0"/>
                <w:sz w:val="24"/>
                <w:szCs w:val="24"/>
                <w:shd w:val="clear" w:color="auto" w:fill="FFFFFF"/>
                <w:lang w:val="en-US" w:eastAsia="zh-CN"/>
              </w:rPr>
            </w:pPr>
            <w:r>
              <w:rPr>
                <w:rStyle w:val="15"/>
                <w:rFonts w:hint="eastAsia" w:ascii="宋体" w:hAnsi="宋体" w:cs="宋体"/>
                <w:bCs w:val="0"/>
                <w:spacing w:val="0"/>
                <w:sz w:val="24"/>
                <w:szCs w:val="24"/>
                <w:shd w:val="clear" w:color="auto" w:fill="FFFFFF"/>
                <w:lang w:val="en-US" w:eastAsia="zh-CN"/>
              </w:rPr>
              <w:t>由于疫情影响，交卷时河北省特种设备检测机构未能</w:t>
            </w:r>
          </w:p>
          <w:p>
            <w:pPr>
              <w:pStyle w:val="2"/>
              <w:spacing w:line="240" w:lineRule="auto"/>
              <w:rPr>
                <w:rStyle w:val="15"/>
                <w:rFonts w:hint="default" w:ascii="宋体" w:hAnsi="宋体" w:cs="宋体"/>
                <w:bCs w:val="0"/>
                <w:spacing w:val="0"/>
                <w:sz w:val="24"/>
                <w:szCs w:val="24"/>
                <w:shd w:val="clear" w:color="auto" w:fill="FFFFFF"/>
                <w:lang w:val="en-US" w:eastAsia="zh-CN"/>
              </w:rPr>
            </w:pPr>
            <w:r>
              <w:rPr>
                <w:rStyle w:val="15"/>
                <w:rFonts w:hint="eastAsia" w:ascii="宋体" w:hAnsi="宋体" w:cs="宋体"/>
                <w:bCs w:val="0"/>
                <w:spacing w:val="0"/>
                <w:sz w:val="24"/>
                <w:szCs w:val="24"/>
                <w:shd w:val="clear" w:color="auto" w:fill="FFFFFF"/>
                <w:lang w:val="en-US" w:eastAsia="zh-CN"/>
              </w:rPr>
              <w:t>交付企业证书检查报告。</w:t>
            </w:r>
          </w:p>
          <w:p>
            <w:pPr>
              <w:pStyle w:val="2"/>
              <w:spacing w:line="240" w:lineRule="auto"/>
              <w:rPr>
                <w:rStyle w:val="15"/>
                <w:rFonts w:hint="eastAsia" w:ascii="宋体" w:hAnsi="宋体" w:cs="宋体"/>
                <w:bCs w:val="0"/>
                <w:spacing w:val="0"/>
                <w:sz w:val="24"/>
                <w:szCs w:val="24"/>
                <w:shd w:val="clear" w:color="auto" w:fill="FFFFFF"/>
                <w:lang w:val="en-US" w:eastAsia="zh-CN"/>
              </w:rPr>
            </w:pPr>
            <w:r>
              <w:rPr>
                <w:rStyle w:val="15"/>
                <w:rFonts w:hint="eastAsia" w:ascii="宋体" w:hAnsi="宋体" w:cs="宋体"/>
                <w:bCs w:val="0"/>
                <w:spacing w:val="0"/>
                <w:sz w:val="24"/>
                <w:szCs w:val="24"/>
                <w:shd w:val="clear" w:color="auto" w:fill="FFFFFF"/>
                <w:lang w:val="en-US" w:eastAsia="zh-CN"/>
              </w:rPr>
              <w:drawing>
                <wp:anchor distT="0" distB="0" distL="114300" distR="114300" simplePos="0" relativeHeight="251660288" behindDoc="0" locked="0" layoutInCell="1" allowOverlap="1">
                  <wp:simplePos x="0" y="0"/>
                  <wp:positionH relativeFrom="column">
                    <wp:posOffset>222250</wp:posOffset>
                  </wp:positionH>
                  <wp:positionV relativeFrom="paragraph">
                    <wp:posOffset>123825</wp:posOffset>
                  </wp:positionV>
                  <wp:extent cx="3011805" cy="1420495"/>
                  <wp:effectExtent l="0" t="0" r="10795" b="1905"/>
                  <wp:wrapNone/>
                  <wp:docPr id="4" name="图片 4" descr="行车检验申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行车检验申请"/>
                          <pic:cNvPicPr>
                            <a:picLocks noChangeAspect="1"/>
                          </pic:cNvPicPr>
                        </pic:nvPicPr>
                        <pic:blipFill>
                          <a:blip r:embed="rId7"/>
                          <a:stretch>
                            <a:fillRect/>
                          </a:stretch>
                        </pic:blipFill>
                        <pic:spPr>
                          <a:xfrm>
                            <a:off x="0" y="0"/>
                            <a:ext cx="3011805" cy="1420495"/>
                          </a:xfrm>
                          <a:prstGeom prst="rect">
                            <a:avLst/>
                          </a:prstGeom>
                        </pic:spPr>
                      </pic:pic>
                    </a:graphicData>
                  </a:graphic>
                </wp:anchor>
              </w:drawing>
            </w:r>
          </w:p>
          <w:p>
            <w:pPr>
              <w:pStyle w:val="2"/>
              <w:spacing w:line="240" w:lineRule="auto"/>
              <w:rPr>
                <w:rStyle w:val="15"/>
                <w:rFonts w:hint="eastAsia" w:ascii="宋体" w:hAnsi="宋体" w:cs="宋体"/>
                <w:bCs w:val="0"/>
                <w:spacing w:val="0"/>
                <w:sz w:val="24"/>
                <w:szCs w:val="24"/>
                <w:shd w:val="clear" w:color="auto" w:fill="FFFFFF"/>
                <w:lang w:val="en-US" w:eastAsia="zh-CN"/>
              </w:rPr>
            </w:pPr>
          </w:p>
          <w:p>
            <w:pPr>
              <w:pStyle w:val="2"/>
              <w:spacing w:line="240" w:lineRule="auto"/>
              <w:rPr>
                <w:rStyle w:val="15"/>
                <w:rFonts w:hint="eastAsia" w:ascii="宋体" w:hAnsi="宋体" w:cs="宋体"/>
                <w:bCs w:val="0"/>
                <w:spacing w:val="0"/>
                <w:sz w:val="24"/>
                <w:szCs w:val="24"/>
                <w:shd w:val="clear" w:color="auto" w:fill="FFFFFF"/>
                <w:lang w:val="en-US" w:eastAsia="zh-CN"/>
              </w:rPr>
            </w:pPr>
          </w:p>
          <w:p>
            <w:pPr>
              <w:pStyle w:val="2"/>
              <w:spacing w:line="240" w:lineRule="auto"/>
              <w:rPr>
                <w:rStyle w:val="15"/>
                <w:rFonts w:hint="eastAsia" w:ascii="宋体" w:hAnsi="宋体" w:cs="宋体"/>
                <w:bCs w:val="0"/>
                <w:spacing w:val="0"/>
                <w:sz w:val="24"/>
                <w:szCs w:val="24"/>
                <w:shd w:val="clear" w:color="auto" w:fill="FFFFFF"/>
                <w:lang w:val="en-US" w:eastAsia="zh-CN"/>
              </w:rPr>
            </w:pPr>
          </w:p>
          <w:p>
            <w:pPr>
              <w:pStyle w:val="2"/>
              <w:spacing w:line="240" w:lineRule="auto"/>
              <w:rPr>
                <w:rStyle w:val="15"/>
                <w:rFonts w:hint="eastAsia" w:ascii="宋体" w:hAnsi="宋体" w:cs="宋体"/>
                <w:bCs w:val="0"/>
                <w:spacing w:val="0"/>
                <w:sz w:val="24"/>
                <w:szCs w:val="24"/>
                <w:shd w:val="clear" w:color="auto" w:fill="FFFFFF"/>
                <w:lang w:val="en-US" w:eastAsia="zh-CN"/>
              </w:rPr>
            </w:pPr>
          </w:p>
          <w:p>
            <w:pPr>
              <w:pStyle w:val="2"/>
              <w:spacing w:line="240" w:lineRule="auto"/>
              <w:rPr>
                <w:rStyle w:val="15"/>
                <w:rFonts w:hint="eastAsia" w:ascii="宋体" w:hAnsi="宋体" w:cs="宋体"/>
                <w:bCs w:val="0"/>
                <w:spacing w:val="0"/>
                <w:sz w:val="24"/>
                <w:szCs w:val="24"/>
                <w:shd w:val="clear" w:color="auto" w:fill="FFFFFF"/>
                <w:lang w:val="en-US" w:eastAsia="zh-CN"/>
              </w:rPr>
            </w:pPr>
          </w:p>
          <w:p>
            <w:pPr>
              <w:pStyle w:val="2"/>
              <w:spacing w:line="240" w:lineRule="auto"/>
              <w:rPr>
                <w:rStyle w:val="15"/>
                <w:rFonts w:hint="eastAsia" w:ascii="宋体" w:hAnsi="宋体" w:cs="宋体"/>
                <w:bCs w:val="0"/>
                <w:spacing w:val="0"/>
                <w:sz w:val="24"/>
                <w:szCs w:val="24"/>
                <w:shd w:val="clear" w:color="auto" w:fill="FFFFFF"/>
                <w:lang w:val="en-US" w:eastAsia="zh-CN"/>
              </w:rPr>
            </w:pPr>
          </w:p>
          <w:p>
            <w:pPr>
              <w:pStyle w:val="2"/>
              <w:spacing w:line="240" w:lineRule="auto"/>
              <w:rPr>
                <w:rStyle w:val="15"/>
                <w:rFonts w:hint="eastAsia" w:ascii="宋体" w:hAnsi="宋体" w:cs="宋体"/>
                <w:bCs w:val="0"/>
                <w:spacing w:val="0"/>
                <w:sz w:val="24"/>
                <w:szCs w:val="24"/>
                <w:shd w:val="clear" w:color="auto" w:fill="FFFFFF"/>
                <w:lang w:val="en-US" w:eastAsia="zh-CN"/>
              </w:rPr>
            </w:pP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023" w:type="dxa"/>
            <w:vAlign w:val="top"/>
          </w:tcPr>
          <w:p>
            <w:pPr>
              <w:spacing w:line="280" w:lineRule="exact"/>
              <w:rPr>
                <w:rFonts w:hint="eastAsia" w:ascii="宋体" w:hAnsi="宋体" w:eastAsia="宋体" w:cs="宋体"/>
                <w:sz w:val="24"/>
                <w:szCs w:val="24"/>
                <w:lang w:val="en-US" w:eastAsia="zh-CN"/>
              </w:rPr>
            </w:pPr>
            <w:r>
              <w:rPr>
                <w:rFonts w:hint="eastAsia" w:ascii="宋体" w:hAnsi="宋体" w:eastAsia="宋体" w:cs="宋体"/>
                <w:sz w:val="24"/>
                <w:szCs w:val="24"/>
              </w:rPr>
              <w:t>沟通/信息交流</w:t>
            </w:r>
          </w:p>
        </w:tc>
        <w:tc>
          <w:tcPr>
            <w:tcW w:w="1149" w:type="dxa"/>
            <w:vAlign w:val="top"/>
          </w:tcPr>
          <w:p>
            <w:pPr>
              <w:spacing w:line="2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w:t>
            </w:r>
            <w:r>
              <w:rPr>
                <w:rFonts w:hint="eastAsia" w:ascii="宋体" w:hAnsi="宋体" w:eastAsia="宋体" w:cs="宋体"/>
                <w:sz w:val="24"/>
                <w:szCs w:val="24"/>
                <w:lang w:eastAsia="zh-CN"/>
              </w:rPr>
              <w:t>O</w:t>
            </w:r>
            <w:r>
              <w:rPr>
                <w:rFonts w:hint="eastAsia" w:ascii="宋体" w:hAnsi="宋体" w:eastAsia="宋体" w:cs="宋体"/>
                <w:sz w:val="24"/>
                <w:szCs w:val="24"/>
              </w:rPr>
              <w:t>7.4</w:t>
            </w:r>
          </w:p>
        </w:tc>
        <w:tc>
          <w:tcPr>
            <w:tcW w:w="10642"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策划编制的程序文件《信息交流与协商、参与控制程序》及管理手册的相关章节规定了企业内、外部沟通和员工就职业健康安全事务参与、协商的要求，经查阅和交谈符合标准要求。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总经理负责在公司建立畅通的沟通渠道。管理者代表是公司内部和外部信息交流和沟通的负责人。</w:t>
            </w:r>
            <w:r>
              <w:rPr>
                <w:rFonts w:hint="eastAsia" w:ascii="宋体" w:hAnsi="宋体" w:eastAsia="宋体" w:cs="宋体"/>
                <w:sz w:val="24"/>
                <w:szCs w:val="24"/>
                <w:lang w:eastAsia="zh-CN"/>
              </w:rPr>
              <w:t>综合部</w:t>
            </w:r>
            <w:r>
              <w:rPr>
                <w:rFonts w:hint="eastAsia" w:ascii="宋体" w:hAnsi="宋体" w:eastAsia="宋体" w:cs="宋体"/>
                <w:sz w:val="24"/>
                <w:szCs w:val="24"/>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eastAsia="宋体" w:cs="宋体"/>
                <w:sz w:val="24"/>
                <w:szCs w:val="24"/>
                <w:lang w:eastAsia="zh-CN"/>
              </w:rPr>
              <w:t>综合部</w:t>
            </w:r>
            <w:r>
              <w:rPr>
                <w:rFonts w:hint="eastAsia" w:ascii="宋体" w:hAnsi="宋体" w:eastAsia="宋体" w:cs="宋体"/>
                <w:sz w:val="24"/>
                <w:szCs w:val="24"/>
              </w:rPr>
              <w:t>反馈。渠道部负责顾客要求方面的有关事宜的沟通。</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目前各项沟通都较为及时、顺畅、效果较好。</w:t>
            </w:r>
          </w:p>
        </w:tc>
        <w:tc>
          <w:tcPr>
            <w:tcW w:w="89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管理评审</w:t>
            </w:r>
          </w:p>
          <w:p>
            <w:pPr>
              <w:spacing w:line="280" w:lineRule="exact"/>
              <w:rPr>
                <w:rFonts w:hint="eastAsia" w:ascii="宋体" w:hAnsi="宋体" w:eastAsia="宋体" w:cs="宋体"/>
                <w:sz w:val="24"/>
                <w:szCs w:val="24"/>
              </w:rPr>
            </w:pP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lang w:eastAsia="zh-CN"/>
              </w:rPr>
              <w:t>EO</w:t>
            </w:r>
            <w:r>
              <w:rPr>
                <w:rFonts w:hint="eastAsia" w:ascii="宋体" w:hAnsi="宋体" w:eastAsia="宋体" w:cs="宋体"/>
                <w:sz w:val="24"/>
                <w:szCs w:val="24"/>
              </w:rPr>
              <w:t>9.3</w:t>
            </w:r>
          </w:p>
          <w:p>
            <w:pPr>
              <w:spacing w:line="280" w:lineRule="exact"/>
              <w:rPr>
                <w:rFonts w:hint="eastAsia" w:ascii="宋体" w:hAnsi="宋体" w:eastAsia="宋体" w:cs="宋体"/>
                <w:sz w:val="24"/>
                <w:szCs w:val="24"/>
              </w:rPr>
            </w:pPr>
          </w:p>
          <w:p>
            <w:pPr>
              <w:spacing w:line="280" w:lineRule="exact"/>
              <w:rPr>
                <w:rFonts w:hint="eastAsia" w:ascii="宋体" w:hAnsi="宋体" w:eastAsia="宋体" w:cs="宋体"/>
                <w:sz w:val="24"/>
                <w:szCs w:val="24"/>
              </w:rPr>
            </w:pPr>
          </w:p>
          <w:p>
            <w:pPr>
              <w:spacing w:line="280" w:lineRule="exact"/>
              <w:rPr>
                <w:rFonts w:hint="eastAsia" w:ascii="宋体" w:hAnsi="宋体" w:eastAsia="宋体" w:cs="宋体"/>
                <w:sz w:val="24"/>
                <w:szCs w:val="24"/>
              </w:rPr>
            </w:pPr>
          </w:p>
        </w:tc>
        <w:tc>
          <w:tcPr>
            <w:tcW w:w="10642"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提供：</w:t>
            </w:r>
          </w:p>
          <w:p>
            <w:pPr>
              <w:spacing w:line="240" w:lineRule="auto"/>
              <w:rPr>
                <w:rFonts w:hint="eastAsia" w:ascii="宋体" w:hAnsi="宋体" w:eastAsia="宋体" w:cs="宋体"/>
                <w:sz w:val="24"/>
                <w:szCs w:val="24"/>
              </w:rPr>
            </w:pPr>
            <w:r>
              <w:rPr>
                <w:rFonts w:hint="eastAsia" w:ascii="宋体" w:hAnsi="宋体" w:eastAsia="宋体" w:cs="宋体"/>
                <w:sz w:val="24"/>
                <w:szCs w:val="24"/>
              </w:rPr>
              <w:t>1.管理评审计划，</w:t>
            </w:r>
          </w:p>
          <w:p>
            <w:pPr>
              <w:spacing w:line="240" w:lineRule="auto"/>
              <w:rPr>
                <w:rFonts w:hint="eastAsia" w:ascii="宋体" w:hAnsi="宋体" w:eastAsia="宋体" w:cs="宋体"/>
                <w:sz w:val="24"/>
                <w:szCs w:val="24"/>
              </w:rPr>
            </w:pPr>
            <w:r>
              <w:rPr>
                <w:rFonts w:hint="eastAsia" w:ascii="宋体" w:hAnsi="宋体" w:eastAsia="宋体" w:cs="宋体"/>
                <w:sz w:val="24"/>
                <w:szCs w:val="24"/>
              </w:rPr>
              <w:t>评审时间：计划2021年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日进行，评审方式：会议评审，</w:t>
            </w:r>
          </w:p>
          <w:p>
            <w:pPr>
              <w:spacing w:line="240" w:lineRule="auto"/>
              <w:rPr>
                <w:rFonts w:hint="eastAsia" w:ascii="宋体" w:hAnsi="宋体" w:eastAsia="宋体" w:cs="宋体"/>
                <w:sz w:val="24"/>
                <w:szCs w:val="24"/>
              </w:rPr>
            </w:pPr>
            <w:r>
              <w:rPr>
                <w:rFonts w:hint="eastAsia" w:ascii="宋体" w:hAnsi="宋体" w:eastAsia="宋体" w:cs="宋体"/>
                <w:sz w:val="24"/>
                <w:szCs w:val="24"/>
              </w:rPr>
              <w:t>编制：</w:t>
            </w:r>
            <w:r>
              <w:rPr>
                <w:rFonts w:hint="eastAsia" w:ascii="宋体" w:hAnsi="宋体" w:eastAsia="宋体" w:cs="宋体"/>
                <w:sz w:val="24"/>
                <w:szCs w:val="24"/>
                <w:lang w:val="en-US" w:eastAsia="zh-CN"/>
              </w:rPr>
              <w:t>综合办公室</w:t>
            </w:r>
            <w:r>
              <w:rPr>
                <w:rFonts w:hint="eastAsia" w:ascii="宋体" w:hAnsi="宋体" w:eastAsia="宋体" w:cs="宋体"/>
                <w:sz w:val="24"/>
                <w:szCs w:val="24"/>
              </w:rPr>
              <w:t xml:space="preserve">   审核：</w:t>
            </w:r>
            <w:r>
              <w:rPr>
                <w:rFonts w:hint="eastAsia" w:ascii="宋体" w:hAnsi="宋体" w:eastAsia="宋体" w:cs="宋体"/>
                <w:sz w:val="24"/>
                <w:szCs w:val="24"/>
                <w:lang w:eastAsia="zh-CN"/>
              </w:rPr>
              <w:t>董忠其</w:t>
            </w:r>
            <w:r>
              <w:rPr>
                <w:rFonts w:hint="eastAsia" w:ascii="宋体" w:hAnsi="宋体" w:eastAsia="宋体" w:cs="宋体"/>
                <w:sz w:val="24"/>
                <w:szCs w:val="24"/>
              </w:rPr>
              <w:t xml:space="preserve">  批准：</w:t>
            </w:r>
            <w:r>
              <w:rPr>
                <w:rFonts w:hint="eastAsia" w:ascii="宋体" w:hAnsi="宋体" w:eastAsia="宋体" w:cs="宋体"/>
                <w:sz w:val="24"/>
                <w:szCs w:val="24"/>
                <w:lang w:eastAsia="zh-CN"/>
              </w:rPr>
              <w:t>赵顺忠</w:t>
            </w:r>
          </w:p>
          <w:p>
            <w:pPr>
              <w:spacing w:line="240" w:lineRule="auto"/>
              <w:rPr>
                <w:rFonts w:hint="eastAsia" w:ascii="宋体" w:hAnsi="宋体" w:eastAsia="宋体" w:cs="宋体"/>
                <w:sz w:val="24"/>
                <w:szCs w:val="24"/>
              </w:rPr>
            </w:pPr>
            <w:r>
              <w:rPr>
                <w:rFonts w:hint="eastAsia" w:ascii="宋体" w:hAnsi="宋体" w:eastAsia="宋体" w:cs="宋体"/>
                <w:sz w:val="24"/>
                <w:szCs w:val="24"/>
              </w:rPr>
              <w:t>参加人员包括公司总经理、管理者代表、各部门负责人，</w:t>
            </w:r>
          </w:p>
          <w:p>
            <w:pPr>
              <w:spacing w:line="240" w:lineRule="auto"/>
              <w:rPr>
                <w:rFonts w:hint="eastAsia" w:ascii="宋体" w:hAnsi="宋体" w:eastAsia="宋体" w:cs="宋体"/>
                <w:sz w:val="24"/>
                <w:szCs w:val="24"/>
              </w:rPr>
            </w:pPr>
            <w:r>
              <w:rPr>
                <w:rFonts w:hint="eastAsia" w:ascii="宋体" w:hAnsi="宋体" w:eastAsia="宋体" w:cs="宋体"/>
                <w:sz w:val="24"/>
                <w:szCs w:val="24"/>
              </w:rPr>
              <w:t>计划中明确了评审内容和资料准备要求。</w:t>
            </w:r>
          </w:p>
          <w:p>
            <w:pPr>
              <w:numPr>
                <w:ilvl w:val="0"/>
                <w:numId w:val="3"/>
              </w:numPr>
              <w:spacing w:line="240" w:lineRule="auto"/>
              <w:rPr>
                <w:rFonts w:hint="eastAsia" w:ascii="宋体" w:hAnsi="宋体" w:eastAsia="宋体" w:cs="宋体"/>
                <w:sz w:val="24"/>
                <w:szCs w:val="24"/>
              </w:rPr>
            </w:pPr>
            <w:r>
              <w:rPr>
                <w:rFonts w:hint="eastAsia" w:ascii="宋体" w:hAnsi="宋体" w:eastAsia="宋体" w:cs="宋体"/>
                <w:sz w:val="24"/>
                <w:szCs w:val="24"/>
              </w:rPr>
              <w:t>管理评审内容：</w:t>
            </w:r>
          </w:p>
          <w:p>
            <w:pPr>
              <w:spacing w:line="240" w:lineRule="auto"/>
              <w:rPr>
                <w:rFonts w:hint="eastAsia" w:ascii="宋体" w:hAnsi="宋体" w:eastAsia="宋体" w:cs="宋体"/>
                <w:sz w:val="24"/>
                <w:szCs w:val="24"/>
              </w:rPr>
            </w:pPr>
            <w:r>
              <w:rPr>
                <w:rFonts w:hint="eastAsia" w:ascii="宋体" w:hAnsi="宋体" w:eastAsia="宋体" w:cs="宋体"/>
                <w:sz w:val="24"/>
                <w:szCs w:val="24"/>
              </w:rPr>
              <w:t>a)以往管理评审所采取改进措施的状况：不适用</w:t>
            </w:r>
          </w:p>
          <w:p>
            <w:pPr>
              <w:spacing w:line="240" w:lineRule="auto"/>
              <w:rPr>
                <w:rFonts w:hint="eastAsia" w:ascii="宋体" w:hAnsi="宋体" w:eastAsia="宋体" w:cs="宋体"/>
                <w:sz w:val="24"/>
                <w:szCs w:val="24"/>
              </w:rPr>
            </w:pPr>
            <w:r>
              <w:rPr>
                <w:rFonts w:hint="eastAsia" w:ascii="宋体" w:hAnsi="宋体" w:eastAsia="宋体" w:cs="宋体"/>
                <w:sz w:val="24"/>
                <w:szCs w:val="24"/>
              </w:rPr>
              <w:t>b)以下方面的变化：</w:t>
            </w:r>
          </w:p>
          <w:p>
            <w:pPr>
              <w:spacing w:line="240" w:lineRule="auto"/>
              <w:rPr>
                <w:rFonts w:hint="eastAsia" w:ascii="宋体" w:hAnsi="宋体" w:eastAsia="宋体" w:cs="宋体"/>
                <w:sz w:val="24"/>
                <w:szCs w:val="24"/>
              </w:rPr>
            </w:pPr>
            <w:r>
              <w:rPr>
                <w:rFonts w:hint="eastAsia" w:ascii="宋体" w:hAnsi="宋体" w:eastAsia="宋体" w:cs="宋体"/>
                <w:sz w:val="24"/>
                <w:szCs w:val="24"/>
              </w:rPr>
              <w:t>1）与质量、环境和职业健康管理体系相关的内、外部环境（无变化）；</w:t>
            </w:r>
          </w:p>
          <w:p>
            <w:pPr>
              <w:spacing w:line="240" w:lineRule="auto"/>
              <w:rPr>
                <w:rFonts w:hint="eastAsia" w:ascii="宋体" w:hAnsi="宋体" w:eastAsia="宋体" w:cs="宋体"/>
                <w:sz w:val="24"/>
                <w:szCs w:val="24"/>
              </w:rPr>
            </w:pPr>
            <w:r>
              <w:rPr>
                <w:rFonts w:hint="eastAsia" w:ascii="宋体" w:hAnsi="宋体" w:eastAsia="宋体" w:cs="宋体"/>
                <w:sz w:val="24"/>
                <w:szCs w:val="24"/>
              </w:rPr>
              <w:t>2）与相关方的需求和期望，包括合规义务；符合要求</w:t>
            </w:r>
          </w:p>
          <w:p>
            <w:pPr>
              <w:spacing w:line="240" w:lineRule="auto"/>
              <w:rPr>
                <w:rFonts w:hint="eastAsia" w:ascii="宋体" w:hAnsi="宋体" w:eastAsia="宋体" w:cs="宋体"/>
                <w:sz w:val="24"/>
                <w:szCs w:val="24"/>
              </w:rPr>
            </w:pPr>
            <w:r>
              <w:rPr>
                <w:rFonts w:hint="eastAsia" w:ascii="宋体" w:hAnsi="宋体" w:eastAsia="宋体" w:cs="宋体"/>
                <w:sz w:val="24"/>
                <w:szCs w:val="24"/>
              </w:rPr>
              <w:t>3）其他重要环境因素、危险源、产品质量相关的生产要素（人、机、料、法、环、测等）；（无变化）；</w:t>
            </w:r>
          </w:p>
          <w:p>
            <w:pPr>
              <w:spacing w:line="240" w:lineRule="auto"/>
              <w:rPr>
                <w:rFonts w:hint="eastAsia" w:ascii="宋体" w:hAnsi="宋体" w:eastAsia="宋体" w:cs="宋体"/>
                <w:sz w:val="24"/>
                <w:szCs w:val="24"/>
              </w:rPr>
            </w:pPr>
            <w:r>
              <w:rPr>
                <w:rFonts w:hint="eastAsia" w:ascii="宋体" w:hAnsi="宋体" w:eastAsia="宋体" w:cs="宋体"/>
                <w:sz w:val="24"/>
                <w:szCs w:val="24"/>
              </w:rPr>
              <w:t>4）风险和机遇（无变化）；</w:t>
            </w:r>
          </w:p>
          <w:p>
            <w:pPr>
              <w:spacing w:line="240" w:lineRule="auto"/>
              <w:rPr>
                <w:rFonts w:hint="eastAsia" w:ascii="宋体" w:hAnsi="宋体" w:eastAsia="宋体" w:cs="宋体"/>
                <w:sz w:val="24"/>
                <w:szCs w:val="24"/>
              </w:rPr>
            </w:pPr>
            <w:r>
              <w:rPr>
                <w:rFonts w:hint="eastAsia" w:ascii="宋体" w:hAnsi="宋体" w:eastAsia="宋体" w:cs="宋体"/>
                <w:sz w:val="24"/>
                <w:szCs w:val="24"/>
              </w:rPr>
              <w:t>c)质量、环境和职业健康管理目标指标的实现程度（达标）；</w:t>
            </w:r>
          </w:p>
          <w:p>
            <w:pPr>
              <w:spacing w:line="240" w:lineRule="auto"/>
              <w:rPr>
                <w:rFonts w:hint="eastAsia" w:ascii="宋体" w:hAnsi="宋体" w:eastAsia="宋体" w:cs="宋体"/>
                <w:sz w:val="24"/>
                <w:szCs w:val="24"/>
              </w:rPr>
            </w:pPr>
            <w:r>
              <w:rPr>
                <w:rFonts w:hint="eastAsia" w:ascii="宋体" w:hAnsi="宋体" w:eastAsia="宋体" w:cs="宋体"/>
                <w:sz w:val="24"/>
                <w:szCs w:val="24"/>
              </w:rPr>
              <w:t>d)组织质量、环境和职业健康管理绩效方面的信息，包括以下方面的趋势；</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1）不符合和纠正措施（符合要求）；</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2）监视和测量结果（符合要求）；</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3）其他合规义务的履行情况（符合要求）；</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4）审核结果（符合要求）；</w:t>
            </w:r>
          </w:p>
          <w:p>
            <w:pPr>
              <w:spacing w:line="240" w:lineRule="auto"/>
              <w:rPr>
                <w:rFonts w:hint="eastAsia" w:ascii="宋体" w:hAnsi="宋体" w:eastAsia="宋体" w:cs="宋体"/>
                <w:sz w:val="24"/>
                <w:szCs w:val="24"/>
              </w:rPr>
            </w:pPr>
            <w:r>
              <w:rPr>
                <w:rFonts w:hint="eastAsia" w:ascii="宋体" w:hAnsi="宋体" w:eastAsia="宋体" w:cs="宋体"/>
                <w:sz w:val="24"/>
                <w:szCs w:val="24"/>
              </w:rPr>
              <w:t>e)资源的充分性（资源充分适宜）；</w:t>
            </w:r>
          </w:p>
          <w:p>
            <w:pPr>
              <w:spacing w:line="240" w:lineRule="auto"/>
              <w:rPr>
                <w:rFonts w:hint="eastAsia" w:ascii="宋体" w:hAnsi="宋体" w:eastAsia="宋体" w:cs="宋体"/>
                <w:sz w:val="24"/>
                <w:szCs w:val="24"/>
              </w:rPr>
            </w:pPr>
            <w:r>
              <w:rPr>
                <w:rFonts w:hint="eastAsia" w:ascii="宋体" w:hAnsi="宋体" w:eastAsia="宋体" w:cs="宋体"/>
                <w:sz w:val="24"/>
                <w:szCs w:val="24"/>
              </w:rPr>
              <w:t>f)来自相关方的有关信息交流，包括抱怨（已经识别，并满足要求）；</w:t>
            </w:r>
          </w:p>
          <w:p>
            <w:pPr>
              <w:spacing w:line="240" w:lineRule="auto"/>
              <w:rPr>
                <w:rFonts w:hint="eastAsia" w:ascii="宋体" w:hAnsi="宋体" w:eastAsia="宋体" w:cs="宋体"/>
                <w:sz w:val="24"/>
                <w:szCs w:val="24"/>
              </w:rPr>
            </w:pPr>
            <w:r>
              <w:rPr>
                <w:rFonts w:hint="eastAsia" w:ascii="宋体" w:hAnsi="宋体" w:eastAsia="宋体" w:cs="宋体"/>
                <w:sz w:val="24"/>
                <w:szCs w:val="24"/>
              </w:rPr>
              <w:t>g)管理评审持续改进的机会（各部门工作报告中提出改进建议）。</w:t>
            </w:r>
          </w:p>
          <w:p>
            <w:pPr>
              <w:spacing w:line="240" w:lineRule="auto"/>
              <w:rPr>
                <w:rFonts w:hint="eastAsia" w:ascii="宋体" w:hAnsi="宋体" w:eastAsia="宋体" w:cs="宋体"/>
                <w:sz w:val="24"/>
                <w:szCs w:val="24"/>
              </w:rPr>
            </w:pPr>
            <w:r>
              <w:rPr>
                <w:rFonts w:hint="eastAsia" w:ascii="宋体" w:hAnsi="宋体" w:eastAsia="宋体" w:cs="宋体"/>
                <w:sz w:val="24"/>
                <w:szCs w:val="24"/>
              </w:rPr>
              <w:t>总经理作会议总结。提供管理评审报告。</w:t>
            </w:r>
          </w:p>
          <w:p>
            <w:pPr>
              <w:spacing w:line="240" w:lineRule="auto"/>
              <w:rPr>
                <w:rFonts w:hint="eastAsia" w:ascii="宋体" w:hAnsi="宋体" w:eastAsia="宋体" w:cs="宋体"/>
                <w:sz w:val="24"/>
                <w:szCs w:val="24"/>
              </w:rPr>
            </w:pPr>
            <w:r>
              <w:rPr>
                <w:rFonts w:hint="eastAsia" w:ascii="宋体" w:hAnsi="宋体" w:eastAsia="宋体" w:cs="宋体"/>
                <w:sz w:val="24"/>
                <w:szCs w:val="24"/>
              </w:rPr>
              <w:t>管理评审结论：a) 本公司质量、环境和职业健康管理体系运行适宜、充分和有效；</w:t>
            </w:r>
          </w:p>
          <w:p>
            <w:pPr>
              <w:spacing w:line="240" w:lineRule="auto"/>
              <w:rPr>
                <w:rFonts w:hint="eastAsia" w:ascii="宋体" w:hAnsi="宋体" w:eastAsia="宋体" w:cs="宋体"/>
                <w:sz w:val="24"/>
                <w:szCs w:val="24"/>
              </w:rPr>
            </w:pPr>
            <w:r>
              <w:rPr>
                <w:rFonts w:hint="eastAsia" w:ascii="宋体" w:hAnsi="宋体" w:eastAsia="宋体" w:cs="宋体"/>
                <w:sz w:val="24"/>
                <w:szCs w:val="24"/>
              </w:rPr>
              <w:t>b)与持续改进机会的相关决策：加强安全教育培训，生产科、综合办公室负责</w:t>
            </w:r>
          </w:p>
          <w:p>
            <w:pPr>
              <w:spacing w:line="240" w:lineRule="auto"/>
              <w:rPr>
                <w:rFonts w:hint="eastAsia" w:ascii="宋体" w:hAnsi="宋体" w:eastAsia="宋体" w:cs="宋体"/>
                <w:sz w:val="24"/>
                <w:szCs w:val="24"/>
              </w:rPr>
            </w:pPr>
            <w:r>
              <w:rPr>
                <w:rFonts w:hint="eastAsia" w:ascii="宋体" w:hAnsi="宋体" w:eastAsia="宋体" w:cs="宋体"/>
                <w:sz w:val="24"/>
                <w:szCs w:val="24"/>
              </w:rPr>
              <w:t>c)与管理体系变更的任何需求相关的决策，包括资源；</w:t>
            </w:r>
          </w:p>
          <w:p>
            <w:pPr>
              <w:spacing w:line="240" w:lineRule="auto"/>
              <w:rPr>
                <w:rFonts w:hint="eastAsia" w:ascii="宋体" w:hAnsi="宋体" w:eastAsia="宋体" w:cs="宋体"/>
                <w:sz w:val="24"/>
                <w:szCs w:val="24"/>
              </w:rPr>
            </w:pPr>
            <w:r>
              <w:rPr>
                <w:rFonts w:hint="eastAsia" w:ascii="宋体" w:hAnsi="宋体" w:eastAsia="宋体" w:cs="宋体"/>
                <w:sz w:val="24"/>
                <w:szCs w:val="24"/>
              </w:rPr>
              <w:t>---如需要，质量、环境和职业健康目标未实现时，采取的措施：无</w:t>
            </w:r>
          </w:p>
          <w:p>
            <w:pPr>
              <w:spacing w:line="240" w:lineRule="auto"/>
              <w:rPr>
                <w:rFonts w:hint="eastAsia" w:ascii="宋体" w:hAnsi="宋体" w:eastAsia="宋体" w:cs="宋体"/>
                <w:sz w:val="24"/>
                <w:szCs w:val="24"/>
              </w:rPr>
            </w:pPr>
            <w:r>
              <w:rPr>
                <w:rFonts w:hint="eastAsia" w:ascii="宋体" w:hAnsi="宋体" w:eastAsia="宋体" w:cs="宋体"/>
                <w:sz w:val="24"/>
                <w:szCs w:val="24"/>
              </w:rPr>
              <w:t>---如需要，改进质量、环境和职业健康管理体系与其它业务过程融合的机会：无</w:t>
            </w:r>
          </w:p>
          <w:p>
            <w:pPr>
              <w:spacing w:line="240" w:lineRule="auto"/>
              <w:rPr>
                <w:rFonts w:hint="eastAsia" w:ascii="宋体" w:hAnsi="宋体" w:eastAsia="宋体" w:cs="宋体"/>
                <w:sz w:val="24"/>
                <w:szCs w:val="24"/>
              </w:rPr>
            </w:pPr>
            <w:r>
              <w:rPr>
                <w:rFonts w:hint="eastAsia" w:ascii="宋体" w:hAnsi="宋体" w:eastAsia="宋体" w:cs="宋体"/>
                <w:sz w:val="24"/>
                <w:szCs w:val="24"/>
              </w:rPr>
              <w:t>---任何与组织战略方向相关的结论：本公司管理体系与公司的战略方向保持一致；</w:t>
            </w:r>
          </w:p>
          <w:p>
            <w:pPr>
              <w:pStyle w:val="2"/>
              <w:rPr>
                <w:rFonts w:hint="eastAsia" w:ascii="宋体" w:hAnsi="宋体" w:eastAsia="宋体" w:cs="宋体"/>
                <w:sz w:val="24"/>
                <w:szCs w:val="24"/>
              </w:rPr>
            </w:pPr>
            <w:r>
              <w:rPr>
                <w:rFonts w:hint="eastAsia" w:ascii="宋体" w:hAnsi="宋体" w:eastAsia="宋体" w:cs="宋体"/>
                <w:sz w:val="24"/>
                <w:szCs w:val="24"/>
              </w:rPr>
              <w:t>改进的建议：加强供应商及其他相关方管控，对供应商实施跟踪管控，加强供应商评价管理，建立其他相关方接待服务程序。</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023" w:type="dxa"/>
          </w:tcPr>
          <w:p>
            <w:pPr>
              <w:spacing w:line="2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改进</w:t>
            </w:r>
          </w:p>
          <w:p>
            <w:pPr>
              <w:spacing w:line="280" w:lineRule="exact"/>
              <w:rPr>
                <w:rFonts w:hint="eastAsia" w:ascii="宋体" w:hAnsi="宋体" w:eastAsia="宋体" w:cs="宋体"/>
                <w:sz w:val="24"/>
                <w:szCs w:val="24"/>
              </w:rPr>
            </w:pPr>
            <w:r>
              <w:rPr>
                <w:rFonts w:hint="eastAsia" w:ascii="宋体" w:hAnsi="宋体" w:eastAsia="宋体" w:cs="宋体"/>
                <w:sz w:val="24"/>
                <w:szCs w:val="24"/>
              </w:rPr>
              <w:t>总则</w:t>
            </w:r>
          </w:p>
          <w:p>
            <w:pPr>
              <w:spacing w:line="280" w:lineRule="exact"/>
              <w:rPr>
                <w:rFonts w:hint="eastAsia" w:ascii="宋体" w:hAnsi="宋体" w:eastAsia="宋体" w:cs="宋体"/>
                <w:sz w:val="24"/>
                <w:szCs w:val="24"/>
              </w:rPr>
            </w:pP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lang w:eastAsia="zh-CN"/>
              </w:rPr>
              <w:t>EO</w:t>
            </w:r>
            <w:r>
              <w:rPr>
                <w:rFonts w:hint="eastAsia" w:ascii="宋体" w:hAnsi="宋体" w:eastAsia="宋体" w:cs="宋体"/>
                <w:sz w:val="24"/>
                <w:szCs w:val="24"/>
              </w:rPr>
              <w:t xml:space="preserve"> 10.1</w:t>
            </w:r>
          </w:p>
          <w:p>
            <w:pPr>
              <w:spacing w:line="280" w:lineRule="exact"/>
              <w:rPr>
                <w:rFonts w:hint="eastAsia" w:ascii="宋体" w:hAnsi="宋体" w:eastAsia="宋体" w:cs="宋体"/>
                <w:sz w:val="24"/>
                <w:szCs w:val="24"/>
              </w:rPr>
            </w:pPr>
          </w:p>
        </w:tc>
        <w:tc>
          <w:tcPr>
            <w:tcW w:w="10642" w:type="dxa"/>
          </w:tcPr>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在应关注的持续改进的需求和机遇。  </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持续改进</w:t>
            </w:r>
          </w:p>
        </w:tc>
        <w:tc>
          <w:tcPr>
            <w:tcW w:w="1149" w:type="dxa"/>
          </w:tcPr>
          <w:p>
            <w:pPr>
              <w:spacing w:line="280" w:lineRule="exact"/>
              <w:rPr>
                <w:rFonts w:hint="eastAsia" w:ascii="宋体" w:hAnsi="宋体" w:eastAsia="宋体" w:cs="宋体"/>
                <w:sz w:val="24"/>
                <w:szCs w:val="24"/>
              </w:rPr>
            </w:pPr>
            <w:r>
              <w:rPr>
                <w:rFonts w:hint="eastAsia" w:ascii="宋体" w:hAnsi="宋体" w:eastAsia="宋体" w:cs="宋体"/>
                <w:sz w:val="24"/>
                <w:szCs w:val="24"/>
                <w:lang w:eastAsia="zh-CN"/>
              </w:rPr>
              <w:t>EO</w:t>
            </w:r>
            <w:r>
              <w:rPr>
                <w:rFonts w:hint="eastAsia" w:ascii="宋体" w:hAnsi="宋体" w:eastAsia="宋体" w:cs="宋体"/>
                <w:sz w:val="24"/>
                <w:szCs w:val="24"/>
              </w:rPr>
              <w:t>10.3</w:t>
            </w:r>
          </w:p>
        </w:tc>
        <w:tc>
          <w:tcPr>
            <w:tcW w:w="10642" w:type="dxa"/>
            <w:vAlign w:val="center"/>
          </w:tcPr>
          <w:p>
            <w:pPr>
              <w:spacing w:line="240" w:lineRule="auto"/>
              <w:rPr>
                <w:rFonts w:hint="eastAsia" w:ascii="宋体" w:hAnsi="宋体" w:eastAsia="宋体" w:cs="宋体"/>
                <w:bCs/>
                <w:color w:val="000000"/>
                <w:sz w:val="24"/>
                <w:szCs w:val="24"/>
              </w:rPr>
            </w:pPr>
            <w:r>
              <w:rPr>
                <w:rFonts w:hint="eastAsia" w:ascii="宋体" w:hAnsi="宋体" w:eastAsia="宋体" w:cs="宋体"/>
                <w:sz w:val="24"/>
                <w:szCs w:val="24"/>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40" w:lineRule="auto"/>
              <w:rPr>
                <w:rFonts w:hint="eastAsia" w:ascii="宋体" w:hAnsi="宋体" w:eastAsia="宋体" w:cs="宋体"/>
                <w:sz w:val="24"/>
                <w:szCs w:val="24"/>
              </w:rPr>
            </w:pPr>
            <w:r>
              <w:rPr>
                <w:rFonts w:hint="eastAsia" w:ascii="宋体" w:hAnsi="宋体" w:eastAsia="宋体" w:cs="宋体"/>
                <w:sz w:val="24"/>
                <w:szCs w:val="24"/>
              </w:rPr>
              <w:t>根据不同过程、不同产品和不同要求，采取不同的方法进行监视、测量和分析。</w:t>
            </w:r>
          </w:p>
          <w:p>
            <w:pPr>
              <w:spacing w:line="240" w:lineRule="auto"/>
              <w:rPr>
                <w:rFonts w:hint="eastAsia" w:ascii="宋体" w:hAnsi="宋体" w:eastAsia="宋体" w:cs="宋体"/>
                <w:sz w:val="24"/>
                <w:szCs w:val="24"/>
              </w:rPr>
            </w:pPr>
            <w:r>
              <w:rPr>
                <w:rFonts w:hint="eastAsia" w:ascii="宋体" w:hAnsi="宋体" w:eastAsia="宋体" w:cs="宋体"/>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023" w:type="dxa"/>
          </w:tcPr>
          <w:p>
            <w:pPr>
              <w:spacing w:line="280" w:lineRule="exact"/>
              <w:rPr>
                <w:rFonts w:hint="eastAsia" w:ascii="宋体" w:hAnsi="宋体" w:eastAsia="宋体" w:cs="宋体"/>
                <w:sz w:val="24"/>
                <w:szCs w:val="24"/>
              </w:rPr>
            </w:pPr>
            <w:r>
              <w:rPr>
                <w:rFonts w:hint="eastAsia" w:ascii="宋体" w:hAnsi="宋体" w:eastAsia="宋体" w:cs="宋体"/>
                <w:sz w:val="24"/>
                <w:szCs w:val="24"/>
              </w:rPr>
              <w:t>资质验证/范围再确认/一阶段问题验证/投诉或事故/政府主管部门监督抽查情况</w:t>
            </w:r>
          </w:p>
        </w:tc>
        <w:tc>
          <w:tcPr>
            <w:tcW w:w="1149" w:type="dxa"/>
          </w:tcPr>
          <w:p>
            <w:pPr>
              <w:spacing w:line="280" w:lineRule="exact"/>
              <w:rPr>
                <w:rFonts w:hint="eastAsia" w:ascii="宋体" w:hAnsi="宋体" w:eastAsia="宋体" w:cs="宋体"/>
                <w:sz w:val="24"/>
                <w:szCs w:val="24"/>
              </w:rPr>
            </w:pPr>
          </w:p>
        </w:tc>
        <w:tc>
          <w:tcPr>
            <w:tcW w:w="10642" w:type="dxa"/>
            <w:vAlign w:val="center"/>
          </w:tcPr>
          <w:p>
            <w:pPr>
              <w:pStyle w:val="2"/>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一阶段</w:t>
            </w:r>
            <w:r>
              <w:rPr>
                <w:rFonts w:hint="eastAsia" w:ascii="宋体" w:hAnsi="宋体" w:eastAsia="宋体" w:cs="宋体"/>
                <w:sz w:val="24"/>
                <w:szCs w:val="24"/>
                <w:lang w:val="en-US" w:eastAsia="zh-CN"/>
              </w:rPr>
              <w:t>问题：经验证，管理体系范围已变更，变更后的范围与实际现场活动相符合，满足要求。</w:t>
            </w:r>
          </w:p>
          <w:p>
            <w:pPr>
              <w:pStyle w:val="2"/>
              <w:spacing w:line="240" w:lineRule="auto"/>
              <w:rPr>
                <w:rFonts w:hint="eastAsia" w:ascii="宋体" w:hAnsi="宋体" w:eastAsia="宋体" w:cs="宋体"/>
                <w:sz w:val="24"/>
                <w:szCs w:val="24"/>
                <w:lang w:eastAsia="zh-CN"/>
              </w:rPr>
            </w:pPr>
            <w:r>
              <w:rPr>
                <w:rFonts w:hint="eastAsia" w:ascii="宋体" w:hAnsi="宋体" w:eastAsia="宋体" w:cs="宋体"/>
                <w:sz w:val="24"/>
                <w:szCs w:val="24"/>
              </w:rPr>
              <w:t>公司管理体系自运行以来，未发生质量、环境、职业健康安全事故</w:t>
            </w:r>
            <w:r>
              <w:rPr>
                <w:rFonts w:hint="eastAsia" w:ascii="宋体" w:hAnsi="宋体" w:eastAsia="宋体" w:cs="宋体"/>
                <w:sz w:val="24"/>
                <w:szCs w:val="24"/>
                <w:lang w:eastAsia="zh-CN"/>
              </w:rPr>
              <w:t>。</w:t>
            </w:r>
          </w:p>
          <w:p>
            <w:pPr>
              <w:pStyle w:val="2"/>
              <w:spacing w:line="240" w:lineRule="auto"/>
              <w:rPr>
                <w:rFonts w:hint="eastAsia" w:ascii="宋体" w:hAnsi="宋体" w:eastAsia="宋体" w:cs="宋体"/>
                <w:sz w:val="24"/>
                <w:szCs w:val="24"/>
                <w:lang w:eastAsia="zh-CN"/>
              </w:rPr>
            </w:pPr>
            <w:r>
              <w:rPr>
                <w:rFonts w:hint="eastAsia" w:ascii="宋体" w:hAnsi="宋体" w:eastAsia="宋体" w:cs="宋体"/>
                <w:sz w:val="24"/>
                <w:szCs w:val="24"/>
              </w:rPr>
              <w:t>管理体系运行期间未发生顾客及相关方投诉情况</w:t>
            </w:r>
            <w:r>
              <w:rPr>
                <w:rFonts w:hint="eastAsia" w:ascii="宋体" w:hAnsi="宋体" w:eastAsia="宋体" w:cs="宋体"/>
                <w:sz w:val="24"/>
                <w:szCs w:val="24"/>
                <w:lang w:eastAsia="zh-CN"/>
              </w:rPr>
              <w:t>。</w:t>
            </w:r>
          </w:p>
          <w:p>
            <w:pPr>
              <w:pStyle w:val="2"/>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目前公司经营过程中没有发生违反</w:t>
            </w:r>
            <w:r>
              <w:rPr>
                <w:rFonts w:hint="eastAsia" w:ascii="宋体" w:hAnsi="宋体" w:eastAsia="宋体" w:cs="宋体"/>
                <w:sz w:val="24"/>
                <w:szCs w:val="24"/>
                <w:lang w:val="en-US" w:eastAsia="zh-CN"/>
              </w:rPr>
              <w:t>其它</w:t>
            </w:r>
            <w:r>
              <w:rPr>
                <w:rFonts w:hint="eastAsia" w:ascii="宋体" w:hAnsi="宋体" w:eastAsia="宋体" w:cs="宋体"/>
                <w:sz w:val="24"/>
                <w:szCs w:val="24"/>
              </w:rPr>
              <w:t>相关法律法规及其他要求的情况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查国家企业信用公示系统：企业未列入“经营异常名录”无行政处罚信息，未列入严重违法失信名单。</w:t>
            </w:r>
          </w:p>
        </w:tc>
        <w:tc>
          <w:tcPr>
            <w:tcW w:w="895"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符合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9A1C"/>
    <w:multiLevelType w:val="singleLevel"/>
    <w:tmpl w:val="A79E9A1C"/>
    <w:lvl w:ilvl="0" w:tentative="0">
      <w:start w:val="1"/>
      <w:numFmt w:val="decimal"/>
      <w:suff w:val="nothing"/>
      <w:lvlText w:val="%1．"/>
      <w:lvlJc w:val="left"/>
      <w:pPr>
        <w:ind w:left="0" w:firstLine="400"/>
      </w:pPr>
      <w:rPr>
        <w:rFonts w:hint="default"/>
      </w:rPr>
    </w:lvl>
  </w:abstractNum>
  <w:abstractNum w:abstractNumId="1">
    <w:nsid w:val="621A606B"/>
    <w:multiLevelType w:val="singleLevel"/>
    <w:tmpl w:val="621A606B"/>
    <w:lvl w:ilvl="0" w:tentative="0">
      <w:start w:val="2"/>
      <w:numFmt w:val="decimal"/>
      <w:lvlText w:val="%1."/>
      <w:lvlJc w:val="left"/>
      <w:pPr>
        <w:tabs>
          <w:tab w:val="left" w:pos="312"/>
        </w:tabs>
      </w:pPr>
    </w:lvl>
  </w:abstractNum>
  <w:abstractNum w:abstractNumId="2">
    <w:nsid w:val="68482BF6"/>
    <w:multiLevelType w:val="singleLevel"/>
    <w:tmpl w:val="68482BF6"/>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7733A"/>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455F4E"/>
    <w:rsid w:val="03640893"/>
    <w:rsid w:val="0536346D"/>
    <w:rsid w:val="069E7BAA"/>
    <w:rsid w:val="06B37672"/>
    <w:rsid w:val="087032D5"/>
    <w:rsid w:val="0990707C"/>
    <w:rsid w:val="09F832E0"/>
    <w:rsid w:val="0AD61B81"/>
    <w:rsid w:val="0AE65CCB"/>
    <w:rsid w:val="0B250CFE"/>
    <w:rsid w:val="0D6D2374"/>
    <w:rsid w:val="0DB71123"/>
    <w:rsid w:val="0F275B6F"/>
    <w:rsid w:val="0FB77A13"/>
    <w:rsid w:val="102A2CE8"/>
    <w:rsid w:val="102D632C"/>
    <w:rsid w:val="108219C2"/>
    <w:rsid w:val="112C6911"/>
    <w:rsid w:val="113A015C"/>
    <w:rsid w:val="15AB31D4"/>
    <w:rsid w:val="16351E52"/>
    <w:rsid w:val="170D1054"/>
    <w:rsid w:val="173343B0"/>
    <w:rsid w:val="1DD20420"/>
    <w:rsid w:val="201C35DE"/>
    <w:rsid w:val="23696C97"/>
    <w:rsid w:val="24A8607E"/>
    <w:rsid w:val="24FE116D"/>
    <w:rsid w:val="25EB74EE"/>
    <w:rsid w:val="26F86213"/>
    <w:rsid w:val="28491A9D"/>
    <w:rsid w:val="2C442CCA"/>
    <w:rsid w:val="2D807A3F"/>
    <w:rsid w:val="2E4E2574"/>
    <w:rsid w:val="30A27C87"/>
    <w:rsid w:val="312266EE"/>
    <w:rsid w:val="334D3132"/>
    <w:rsid w:val="34524295"/>
    <w:rsid w:val="34ED1C2F"/>
    <w:rsid w:val="351279DA"/>
    <w:rsid w:val="391A76DA"/>
    <w:rsid w:val="39A30999"/>
    <w:rsid w:val="3CE33B06"/>
    <w:rsid w:val="3DAC16ED"/>
    <w:rsid w:val="3E03163F"/>
    <w:rsid w:val="3E183177"/>
    <w:rsid w:val="3EF94582"/>
    <w:rsid w:val="3F66293E"/>
    <w:rsid w:val="411E0E83"/>
    <w:rsid w:val="41C05420"/>
    <w:rsid w:val="42136665"/>
    <w:rsid w:val="438057C2"/>
    <w:rsid w:val="4A5F6016"/>
    <w:rsid w:val="4D2860C7"/>
    <w:rsid w:val="4DE94ACF"/>
    <w:rsid w:val="4E8C1C52"/>
    <w:rsid w:val="50AE1FD3"/>
    <w:rsid w:val="52447F1C"/>
    <w:rsid w:val="545A60E8"/>
    <w:rsid w:val="54836A19"/>
    <w:rsid w:val="59540730"/>
    <w:rsid w:val="59F14D15"/>
    <w:rsid w:val="5B270D40"/>
    <w:rsid w:val="5BAD65A6"/>
    <w:rsid w:val="5C9406EC"/>
    <w:rsid w:val="5EA12B9A"/>
    <w:rsid w:val="5EC3719B"/>
    <w:rsid w:val="5FA01420"/>
    <w:rsid w:val="6147060A"/>
    <w:rsid w:val="61572249"/>
    <w:rsid w:val="61DC0836"/>
    <w:rsid w:val="62F43393"/>
    <w:rsid w:val="64504434"/>
    <w:rsid w:val="64763F32"/>
    <w:rsid w:val="67202610"/>
    <w:rsid w:val="68B5413B"/>
    <w:rsid w:val="6991333C"/>
    <w:rsid w:val="6A403FC3"/>
    <w:rsid w:val="6A6716C9"/>
    <w:rsid w:val="6CFB6932"/>
    <w:rsid w:val="6D2C467F"/>
    <w:rsid w:val="6EEF7A0A"/>
    <w:rsid w:val="6F413833"/>
    <w:rsid w:val="705747FD"/>
    <w:rsid w:val="71474E7E"/>
    <w:rsid w:val="72C70F1A"/>
    <w:rsid w:val="74821EB4"/>
    <w:rsid w:val="775101C6"/>
    <w:rsid w:val="79075D91"/>
    <w:rsid w:val="7A745DF5"/>
    <w:rsid w:val="7AD02CAD"/>
    <w:rsid w:val="7AE8376A"/>
    <w:rsid w:val="7BFB0B28"/>
    <w:rsid w:val="7CB22D97"/>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rPr>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10"/>
    <w:qFormat/>
    <w:uiPriority w:val="0"/>
  </w:style>
  <w:style w:type="character" w:customStyle="1" w:styleId="16">
    <w:name w:val="info-expand-btn"/>
    <w:basedOn w:val="10"/>
    <w:qFormat/>
    <w:uiPriority w:val="0"/>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7241</Words>
  <Characters>7529</Characters>
  <Lines>44</Lines>
  <Paragraphs>12</Paragraphs>
  <TotalTime>8</TotalTime>
  <ScaleCrop>false</ScaleCrop>
  <LinksUpToDate>false</LinksUpToDate>
  <CharactersWithSpaces>7610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2022-03-15T23:59:18Z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5661732F78ED4EDA9A0D1CB0B7F4896A</vt:lpwstr>
  </property>
</Properties>
</file>