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468"/>
        <w:gridCol w:w="1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 w:val="24"/>
                <w:szCs w:val="24"/>
              </w:rPr>
              <w:t>赛孚瑞化工邯郸有限公司</w:t>
            </w:r>
            <w:bookmarkEnd w:id="2"/>
          </w:p>
        </w:tc>
        <w:tc>
          <w:tcPr>
            <w:tcW w:w="16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3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t>Q：12.01.04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t>Q：12.01.04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原料提取→反应釜加工（根据产品的不同进行加热、搅拌、精馏等工序）→冷凝器冷凝→滤膜过滤→化验→包装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质量关键过程（工序）：加热、搅拌工序、过滤工序、中和除杂工序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bookmarkStart w:id="3" w:name="_GoBack"/>
            <w:bookmarkEnd w:id="3"/>
            <w:r>
              <w:rPr>
                <w:rFonts w:hint="eastAsia"/>
                <w:b/>
                <w:sz w:val="20"/>
              </w:rPr>
              <w:t>包装工序；相关控制参数名称：温度，滤膜孔径、环境卫生等；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需要确认的过程（工序）：预混合搅拌工序、中和除杂工序；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中华人民共和国计量法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中华人民共和国标准化法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危险化学品安全管理条例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中华人民共和国化工行业标准﹝二甲醚﹞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工业用二氯甲烷GB/T 4117-2008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甲醇国标标准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卡尔费休试剂Q/SFR013-2020</w:t>
            </w:r>
            <w:r>
              <w:rPr>
                <w:rFonts w:hint="eastAsia"/>
                <w:b/>
                <w:sz w:val="20"/>
                <w:lang w:eastAsia="zh-CN"/>
              </w:rPr>
              <w:t>、高纯</w:t>
            </w:r>
            <w:r>
              <w:rPr>
                <w:rFonts w:hint="eastAsia"/>
                <w:b/>
                <w:sz w:val="20"/>
              </w:rPr>
              <w:t>试剂正己烷</w:t>
            </w:r>
            <w:r>
              <w:rPr>
                <w:rFonts w:hint="eastAsia"/>
                <w:b/>
                <w:sz w:val="20"/>
                <w:lang w:eastAsia="zh-CN"/>
              </w:rPr>
              <w:t>Q/SF 006-2005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含量、水分；要求按客户需求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赛孚瑞化工邯郸有限公司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t>：12.01.04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t>：12.01.04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原料提取→反应釜加工（根据产品的不同进行加热、搅拌、精馏等工序）→冷凝器冷凝→滤膜过滤→化验→包装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固废、火灾、噪声、废水、废气，</w:t>
            </w:r>
            <w:r>
              <w:rPr>
                <w:rFonts w:hint="eastAsia"/>
                <w:b/>
                <w:sz w:val="20"/>
                <w:lang w:eastAsia="zh-CN"/>
              </w:rPr>
              <w:t>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中华人民共和国固体废物污染环境防治法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中华人民共和国大气污染防治法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中华人民共和国水污染防治法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中华人民共和国环境影响评价法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419"/>
        <w:gridCol w:w="14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赛孚瑞化工邯郸有限公司</w:t>
            </w:r>
          </w:p>
        </w:tc>
        <w:tc>
          <w:tcPr>
            <w:tcW w:w="160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8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t>：12.01.04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t>：12.01.04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原料提取→反应釜加工（根据产品的不同进行加热、搅拌、精馏等工序）→冷凝器冷凝→滤膜过滤→化验→包装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潜在火灾爆炸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噪声伤害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意外伤害，采取管理方案和预案措施管理。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中华人民共和国劳动合同法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中华人民共和国职业病防治法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中华人民共和国妇女权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益保障法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劳动保障监察条例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女职工劳动保护特别规定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工作场所有害因素职业接触限值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工作场所职业卫生管理规定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ABF699A"/>
    <w:rsid w:val="392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2022-02-15T02:02:55Z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