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0058-2022-Q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重庆天北科技有限公司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10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1964"/>
        <w:gridCol w:w="1313"/>
        <w:gridCol w:w="2180"/>
        <w:gridCol w:w="1242"/>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86" w:type="dxa"/>
            <w:vAlign w:val="center"/>
          </w:tcPr>
          <w:p>
            <w:r>
              <w:rPr>
                <w:rFonts w:hint="eastAsia"/>
              </w:rPr>
              <w:t>受审核方名称</w:t>
            </w:r>
          </w:p>
        </w:tc>
        <w:tc>
          <w:tcPr>
            <w:tcW w:w="8845" w:type="dxa"/>
            <w:gridSpan w:val="5"/>
          </w:tcPr>
          <w:p>
            <w:bookmarkStart w:id="5" w:name="组织名称Add1"/>
            <w:r>
              <w:t>重庆天北科技有限公司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386" w:type="dxa"/>
            <w:vAlign w:val="center"/>
          </w:tcPr>
          <w:p>
            <w:r>
              <w:rPr>
                <w:rFonts w:hint="eastAsia"/>
              </w:rPr>
              <w:t>注册地址</w:t>
            </w:r>
          </w:p>
        </w:tc>
        <w:tc>
          <w:tcPr>
            <w:tcW w:w="5457" w:type="dxa"/>
            <w:gridSpan w:val="3"/>
          </w:tcPr>
          <w:p>
            <w:bookmarkStart w:id="6" w:name="注册地址"/>
            <w:r>
              <w:t>重庆市北碚区天府镇后峰路机修厂内</w:t>
            </w:r>
            <w:bookmarkEnd w:id="6"/>
          </w:p>
        </w:tc>
        <w:tc>
          <w:tcPr>
            <w:tcW w:w="1242" w:type="dxa"/>
            <w:vMerge w:val="restart"/>
            <w:vAlign w:val="center"/>
          </w:tcPr>
          <w:p>
            <w:r>
              <w:rPr>
                <w:rFonts w:hint="eastAsia"/>
              </w:rPr>
              <w:t>邮编</w:t>
            </w:r>
          </w:p>
        </w:tc>
        <w:tc>
          <w:tcPr>
            <w:tcW w:w="2146" w:type="dxa"/>
          </w:tcPr>
          <w:p>
            <w:bookmarkStart w:id="7" w:name="注册邮编"/>
            <w:r>
              <w:t>400704</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386" w:type="dxa"/>
            <w:vAlign w:val="center"/>
          </w:tcPr>
          <w:p>
            <w:r>
              <w:rPr>
                <w:rFonts w:hint="eastAsia"/>
              </w:rPr>
              <w:t>经营地址</w:t>
            </w:r>
          </w:p>
        </w:tc>
        <w:tc>
          <w:tcPr>
            <w:tcW w:w="5457" w:type="dxa"/>
            <w:gridSpan w:val="3"/>
          </w:tcPr>
          <w:p>
            <w:bookmarkStart w:id="8" w:name="生产地址"/>
            <w:r>
              <w:t>重庆市北碚区天府镇后峰路机修厂内</w:t>
            </w:r>
            <w:bookmarkEnd w:id="8"/>
          </w:p>
        </w:tc>
        <w:tc>
          <w:tcPr>
            <w:tcW w:w="1242" w:type="dxa"/>
            <w:vMerge w:val="continue"/>
            <w:vAlign w:val="center"/>
          </w:tcPr>
          <w:p/>
        </w:tc>
        <w:tc>
          <w:tcPr>
            <w:tcW w:w="2146" w:type="dxa"/>
          </w:tcPr>
          <w:p>
            <w:bookmarkStart w:id="9" w:name="办公邮编"/>
            <w:r>
              <w:t>400704</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86" w:type="dxa"/>
            <w:vAlign w:val="center"/>
          </w:tcPr>
          <w:p>
            <w:r>
              <w:rPr>
                <w:rFonts w:hint="eastAsia"/>
              </w:rPr>
              <w:t>联系人</w:t>
            </w:r>
          </w:p>
        </w:tc>
        <w:tc>
          <w:tcPr>
            <w:tcW w:w="1964" w:type="dxa"/>
          </w:tcPr>
          <w:p>
            <w:bookmarkStart w:id="10" w:name="联系人"/>
            <w:r>
              <w:t>马江涛</w:t>
            </w:r>
            <w:bookmarkEnd w:id="10"/>
          </w:p>
        </w:tc>
        <w:tc>
          <w:tcPr>
            <w:tcW w:w="1313" w:type="dxa"/>
            <w:vAlign w:val="center"/>
          </w:tcPr>
          <w:p>
            <w:r>
              <w:rPr>
                <w:rFonts w:hint="eastAsia"/>
              </w:rPr>
              <w:t>电话.</w:t>
            </w:r>
          </w:p>
        </w:tc>
        <w:tc>
          <w:tcPr>
            <w:tcW w:w="2180" w:type="dxa"/>
            <w:vAlign w:val="center"/>
          </w:tcPr>
          <w:p>
            <w:bookmarkStart w:id="11" w:name="联系人电话"/>
            <w:r>
              <w:t>13883005041</w:t>
            </w:r>
            <w:bookmarkEnd w:id="11"/>
          </w:p>
        </w:tc>
        <w:tc>
          <w:tcPr>
            <w:tcW w:w="1242" w:type="dxa"/>
            <w:vAlign w:val="center"/>
          </w:tcPr>
          <w:p>
            <w:r>
              <w:rPr>
                <w:rFonts w:hint="eastAsia"/>
              </w:rPr>
              <w:t>传真</w:t>
            </w:r>
          </w:p>
        </w:tc>
        <w:tc>
          <w:tcPr>
            <w:tcW w:w="2146"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Align w:val="center"/>
          </w:tcPr>
          <w:p>
            <w:r>
              <w:rPr>
                <w:rFonts w:hint="eastAsia"/>
              </w:rPr>
              <w:t>法人代表</w:t>
            </w:r>
          </w:p>
        </w:tc>
        <w:tc>
          <w:tcPr>
            <w:tcW w:w="1964" w:type="dxa"/>
          </w:tcPr>
          <w:p>
            <w:bookmarkStart w:id="13" w:name="法人"/>
            <w:r>
              <w:t>胡波</w:t>
            </w:r>
            <w:bookmarkEnd w:id="13"/>
          </w:p>
        </w:tc>
        <w:tc>
          <w:tcPr>
            <w:tcW w:w="1313" w:type="dxa"/>
            <w:vAlign w:val="center"/>
          </w:tcPr>
          <w:p>
            <w:r>
              <w:rPr>
                <w:rFonts w:hint="eastAsia"/>
              </w:rPr>
              <w:t>管理者代表</w:t>
            </w:r>
          </w:p>
        </w:tc>
        <w:tc>
          <w:tcPr>
            <w:tcW w:w="2180" w:type="dxa"/>
          </w:tcPr>
          <w:p>
            <w:pPr>
              <w:rPr>
                <w:rFonts w:hint="eastAsia" w:eastAsia="宋体"/>
                <w:lang w:eastAsia="zh-CN"/>
              </w:rPr>
            </w:pPr>
            <w:r>
              <w:rPr>
                <w:rFonts w:hint="eastAsia"/>
                <w:lang w:eastAsia="zh-CN"/>
              </w:rPr>
              <w:t>唐云</w:t>
            </w:r>
          </w:p>
        </w:tc>
        <w:tc>
          <w:tcPr>
            <w:tcW w:w="1242" w:type="dxa"/>
          </w:tcPr>
          <w:p>
            <w:r>
              <w:rPr>
                <w:rFonts w:hint="eastAsia"/>
              </w:rPr>
              <w:t>邮箱</w:t>
            </w:r>
          </w:p>
        </w:tc>
        <w:tc>
          <w:tcPr>
            <w:tcW w:w="21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86" w:type="dxa"/>
            <w:shd w:val="clear" w:color="auto" w:fill="auto"/>
          </w:tcPr>
          <w:p>
            <w:r>
              <w:rPr>
                <w:rFonts w:hint="eastAsia"/>
              </w:rPr>
              <w:t>多班次说明</w:t>
            </w:r>
          </w:p>
        </w:tc>
        <w:tc>
          <w:tcPr>
            <w:tcW w:w="8845"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0231"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86" w:type="dxa"/>
            <w:shd w:val="clear" w:color="auto" w:fill="auto"/>
          </w:tcPr>
          <w:p>
            <w:r>
              <w:rPr>
                <w:rFonts w:hint="eastAsia"/>
              </w:rPr>
              <w:t>生产/服务提供流程简图</w:t>
            </w:r>
          </w:p>
          <w:p/>
          <w:p/>
        </w:tc>
        <w:tc>
          <w:tcPr>
            <w:tcW w:w="8845" w:type="dxa"/>
            <w:gridSpan w:val="5"/>
            <w:shd w:val="clear" w:color="auto" w:fill="auto"/>
          </w:tcPr>
          <w:tbl>
            <w:tblPr>
              <w:tblStyle w:val="9"/>
              <w:tblW w:w="12247" w:type="dxa"/>
              <w:tblInd w:w="-11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94"/>
              <w:gridCol w:w="107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8" w:hRule="atLeast"/>
              </w:trPr>
              <w:tc>
                <w:tcPr>
                  <w:tcW w:w="1494" w:type="dxa"/>
                  <w:vAlign w:val="center"/>
                </w:tcPr>
                <w:p>
                  <w:pPr>
                    <w:jc w:val="center"/>
                    <w:rPr>
                      <w:color w:val="000000" w:themeColor="text1"/>
                      <w:szCs w:val="21"/>
                    </w:rPr>
                  </w:pPr>
                  <w:r>
                    <w:rPr>
                      <w:rFonts w:hint="eastAsia"/>
                      <w:color w:val="000000" w:themeColor="text1"/>
                      <w:szCs w:val="21"/>
                    </w:rPr>
                    <w:t>金属结构制造</w:t>
                  </w:r>
                </w:p>
              </w:tc>
              <w:tc>
                <w:tcPr>
                  <w:tcW w:w="10753" w:type="dxa"/>
                  <w:vAlign w:val="center"/>
                </w:tcPr>
                <w:p>
                  <w:pPr>
                    <w:rPr>
                      <w:color w:val="000000" w:themeColor="text1"/>
                      <w:szCs w:val="21"/>
                    </w:rPr>
                  </w:pPr>
                  <w:r>
                    <w:rPr>
                      <w:rFonts w:hint="eastAsia"/>
                      <w:color w:val="000000" w:themeColor="text1"/>
                      <w:szCs w:val="21"/>
                    </w:rPr>
                    <w:t>下料—校形—成形—</w:t>
                  </w:r>
                  <w:r>
                    <w:rPr>
                      <w:rFonts w:hint="eastAsia"/>
                      <w:color w:val="000000" w:themeColor="text1"/>
                      <w:szCs w:val="21"/>
                      <w:lang w:eastAsia="zh-CN"/>
                    </w:rPr>
                    <w:t>机加工</w:t>
                  </w:r>
                  <w:r>
                    <w:rPr>
                      <w:rFonts w:hint="eastAsia"/>
                      <w:color w:val="000000" w:themeColor="text1"/>
                      <w:szCs w:val="21"/>
                    </w:rPr>
                    <w:t>—焊接——出厂检验—入库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8" w:hRule="atLeast"/>
              </w:trPr>
              <w:tc>
                <w:tcPr>
                  <w:tcW w:w="1494" w:type="dxa"/>
                  <w:vAlign w:val="center"/>
                </w:tcPr>
                <w:p>
                  <w:pPr>
                    <w:jc w:val="center"/>
                    <w:rPr>
                      <w:color w:val="000000" w:themeColor="text1"/>
                      <w:szCs w:val="21"/>
                    </w:rPr>
                  </w:pPr>
                  <w:r>
                    <w:rPr>
                      <w:rFonts w:hint="eastAsia"/>
                      <w:color w:val="000000" w:themeColor="text1"/>
                      <w:szCs w:val="21"/>
                    </w:rPr>
                    <w:t>建筑用金属配件制造</w:t>
                  </w:r>
                </w:p>
              </w:tc>
              <w:tc>
                <w:tcPr>
                  <w:tcW w:w="10753" w:type="dxa"/>
                  <w:vAlign w:val="center"/>
                </w:tcPr>
                <w:p>
                  <w:pPr>
                    <w:rPr>
                      <w:color w:val="000000" w:themeColor="text1"/>
                      <w:szCs w:val="21"/>
                    </w:rPr>
                  </w:pPr>
                  <w:r>
                    <w:rPr>
                      <w:rFonts w:hint="eastAsia"/>
                      <w:color w:val="000000" w:themeColor="text1"/>
                      <w:szCs w:val="21"/>
                    </w:rPr>
                    <w:t>下料—校形—成形—</w:t>
                  </w:r>
                  <w:r>
                    <w:rPr>
                      <w:rFonts w:hint="eastAsia"/>
                      <w:color w:val="000000" w:themeColor="text1"/>
                      <w:szCs w:val="21"/>
                      <w:lang w:eastAsia="zh-CN"/>
                    </w:rPr>
                    <w:t>机加工</w:t>
                  </w:r>
                  <w:r>
                    <w:rPr>
                      <w:rFonts w:hint="eastAsia"/>
                      <w:color w:val="000000" w:themeColor="text1"/>
                      <w:szCs w:val="21"/>
                    </w:rPr>
                    <w:t>—焊接—出厂检验—入库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8" w:hRule="atLeast"/>
              </w:trPr>
              <w:tc>
                <w:tcPr>
                  <w:tcW w:w="1494" w:type="dxa"/>
                  <w:vAlign w:val="center"/>
                </w:tcPr>
                <w:p>
                  <w:pPr>
                    <w:jc w:val="center"/>
                    <w:rPr>
                      <w:color w:val="000000" w:themeColor="text1"/>
                      <w:szCs w:val="21"/>
                    </w:rPr>
                  </w:pPr>
                  <w:r>
                    <w:rPr>
                      <w:rFonts w:hint="eastAsia"/>
                      <w:color w:val="000000" w:themeColor="text1"/>
                      <w:szCs w:val="21"/>
                    </w:rPr>
                    <w:t>模具制造</w:t>
                  </w:r>
                </w:p>
              </w:tc>
              <w:tc>
                <w:tcPr>
                  <w:tcW w:w="10753" w:type="dxa"/>
                  <w:vAlign w:val="center"/>
                </w:tcPr>
                <w:p>
                  <w:pPr>
                    <w:jc w:val="both"/>
                    <w:rPr>
                      <w:color w:val="000000" w:themeColor="text1"/>
                      <w:szCs w:val="21"/>
                    </w:rPr>
                  </w:pPr>
                  <w:r>
                    <w:rPr>
                      <w:rFonts w:hint="eastAsia"/>
                      <w:color w:val="000000" w:themeColor="text1"/>
                      <w:szCs w:val="21"/>
                    </w:rPr>
                    <w:t>下料—校形—成形—</w:t>
                  </w:r>
                  <w:r>
                    <w:rPr>
                      <w:rFonts w:hint="eastAsia"/>
                      <w:color w:val="000000" w:themeColor="text1"/>
                      <w:szCs w:val="21"/>
                      <w:lang w:eastAsia="zh-CN"/>
                    </w:rPr>
                    <w:t>机加工</w:t>
                  </w:r>
                  <w:r>
                    <w:rPr>
                      <w:rFonts w:hint="eastAsia"/>
                      <w:color w:val="000000" w:themeColor="text1"/>
                      <w:szCs w:val="21"/>
                    </w:rPr>
                    <w:t>—焊接部装—焊后</w:t>
                  </w:r>
                  <w:r>
                    <w:rPr>
                      <w:rFonts w:hint="eastAsia"/>
                      <w:color w:val="000000" w:themeColor="text1"/>
                      <w:szCs w:val="21"/>
                      <w:lang w:eastAsia="zh-CN"/>
                    </w:rPr>
                    <w:t>机加工</w:t>
                  </w:r>
                  <w:r>
                    <w:rPr>
                      <w:rFonts w:hint="eastAsia"/>
                      <w:color w:val="000000" w:themeColor="text1"/>
                      <w:szCs w:val="21"/>
                    </w:rPr>
                    <w:t>—总装—出厂检验—入库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3" w:hRule="atLeast"/>
              </w:trPr>
              <w:tc>
                <w:tcPr>
                  <w:tcW w:w="1494" w:type="dxa"/>
                  <w:vAlign w:val="center"/>
                </w:tcPr>
                <w:p>
                  <w:pPr>
                    <w:jc w:val="center"/>
                    <w:rPr>
                      <w:color w:val="000000" w:themeColor="text1"/>
                      <w:szCs w:val="21"/>
                    </w:rPr>
                  </w:pPr>
                  <w:r>
                    <w:rPr>
                      <w:rFonts w:hint="eastAsia"/>
                      <w:color w:val="000000" w:themeColor="text1"/>
                      <w:szCs w:val="21"/>
                    </w:rPr>
                    <w:t>农业机械制造</w:t>
                  </w:r>
                </w:p>
              </w:tc>
              <w:tc>
                <w:tcPr>
                  <w:tcW w:w="10753" w:type="dxa"/>
                  <w:vAlign w:val="center"/>
                </w:tcPr>
                <w:p>
                  <w:pPr>
                    <w:jc w:val="both"/>
                    <w:rPr>
                      <w:color w:val="000000" w:themeColor="text1"/>
                      <w:szCs w:val="21"/>
                    </w:rPr>
                  </w:pPr>
                  <w:r>
                    <w:rPr>
                      <w:rFonts w:hint="eastAsia"/>
                      <w:color w:val="000000" w:themeColor="text1"/>
                      <w:szCs w:val="21"/>
                    </w:rPr>
                    <w:t>下料—校形—成形—</w:t>
                  </w:r>
                  <w:r>
                    <w:rPr>
                      <w:rFonts w:hint="eastAsia"/>
                      <w:color w:val="000000" w:themeColor="text1"/>
                      <w:szCs w:val="21"/>
                      <w:lang w:eastAsia="zh-CN"/>
                    </w:rPr>
                    <w:t>机加工</w:t>
                  </w:r>
                  <w:r>
                    <w:rPr>
                      <w:rFonts w:hint="eastAsia"/>
                      <w:color w:val="000000" w:themeColor="text1"/>
                      <w:szCs w:val="21"/>
                    </w:rPr>
                    <w:t>—焊接部装—焊后</w:t>
                  </w:r>
                  <w:r>
                    <w:rPr>
                      <w:rFonts w:hint="eastAsia"/>
                      <w:color w:val="000000" w:themeColor="text1"/>
                      <w:szCs w:val="21"/>
                      <w:lang w:eastAsia="zh-CN"/>
                    </w:rPr>
                    <w:t>机加工</w:t>
                  </w:r>
                  <w:r>
                    <w:rPr>
                      <w:rFonts w:hint="eastAsia"/>
                      <w:color w:val="000000" w:themeColor="text1"/>
                      <w:szCs w:val="21"/>
                    </w:rPr>
                    <w:t>—总装—出厂检验—入库</w:t>
                  </w:r>
                </w:p>
              </w:tc>
            </w:tr>
          </w:tbl>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638"/>
        <w:gridCol w:w="3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2022年02月22日 上午至2022年02月22日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380" w:type="dxa"/>
            <w:gridSpan w:val="3"/>
            <w:vMerge w:val="restart"/>
            <w:vAlign w:val="center"/>
          </w:tcPr>
          <w:p>
            <w:bookmarkStart w:id="28" w:name="审核范围"/>
            <w:r>
              <w:t>金属结构、建筑用金属配件、模具、农业机械的制造</w:t>
            </w:r>
            <w:bookmarkEnd w:id="28"/>
          </w:p>
        </w:tc>
        <w:tc>
          <w:tcPr>
            <w:tcW w:w="3460"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23" w:type="dxa"/>
            <w:vMerge w:val="continue"/>
            <w:vAlign w:val="center"/>
          </w:tcPr>
          <w:p/>
        </w:tc>
        <w:tc>
          <w:tcPr>
            <w:tcW w:w="5380" w:type="dxa"/>
            <w:gridSpan w:val="3"/>
            <w:vMerge w:val="continue"/>
            <w:vAlign w:val="center"/>
          </w:tcPr>
          <w:p/>
        </w:tc>
        <w:tc>
          <w:tcPr>
            <w:tcW w:w="3460" w:type="dxa"/>
            <w:vAlign w:val="center"/>
          </w:tcPr>
          <w:p>
            <w:bookmarkStart w:id="29" w:name="专业代码"/>
            <w:r>
              <w:t>17.06.01;17.11.03;17.12.05;18.03.00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lang w:eastAsia="zh-CN"/>
              </w:rPr>
              <w:t>☑</w:t>
            </w:r>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ascii="Times New Roman" w:hAnsi="Times New Roman" w:eastAsia="宋体" w:cs="Times New Roman"/>
              </w:rPr>
            </w:pPr>
            <w:r>
              <w:rPr>
                <w:rFonts w:hint="eastAsia" w:ascii="Times New Roman" w:hAnsi="Times New Roman" w:eastAsia="宋体" w:cs="Times New Roman"/>
                <w:lang w:val="en-US" w:eastAsia="zh-CN"/>
              </w:rPr>
              <w:t>2020 年 12 月 10 日</w:t>
            </w:r>
          </w:p>
          <w:p/>
        </w:tc>
        <w:tc>
          <w:tcPr>
            <w:tcW w:w="1638" w:type="dxa"/>
            <w:vAlign w:val="center"/>
          </w:tcPr>
          <w:p>
            <w:r>
              <w:rPr>
                <w:rFonts w:hint="eastAsia"/>
              </w:rPr>
              <w:t>管理体系运行已超过3个月</w:t>
            </w:r>
          </w:p>
        </w:tc>
        <w:tc>
          <w:tcPr>
            <w:tcW w:w="3460"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638" w:type="dxa"/>
            <w:vAlign w:val="center"/>
          </w:tcPr>
          <w:p>
            <w:r>
              <w:rPr>
                <w:rFonts w:hint="eastAsia"/>
              </w:rPr>
              <w:t>认证证书有效期</w:t>
            </w:r>
          </w:p>
          <w:p>
            <w:r>
              <w:rPr>
                <w:rFonts w:hint="eastAsia"/>
              </w:rPr>
              <w:t>（初审除外）</w:t>
            </w:r>
          </w:p>
        </w:tc>
        <w:tc>
          <w:tcPr>
            <w:tcW w:w="3460"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hint="eastAsia" w:ascii="宋体" w:hAnsi="宋体" w:cs="宋体"/>
                <w:color w:val="000000"/>
                <w:kern w:val="0"/>
                <w:szCs w:val="21"/>
              </w:rPr>
              <w:t>重庆天北科技有限公司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重庆市北碚区天府镇后峰路机修厂内</w:t>
            </w:r>
          </w:p>
        </w:tc>
        <w:tc>
          <w:tcPr>
            <w:tcW w:w="2267" w:type="dxa"/>
          </w:tcPr>
          <w:p>
            <w:pPr>
              <w:rPr>
                <w:lang w:val="de-DE" w:eastAsia="ja-JP"/>
              </w:rPr>
            </w:pPr>
            <w:r>
              <w:rPr>
                <w:rFonts w:hint="eastAsia" w:ascii="宋体" w:hAnsi="宋体" w:cs="宋体"/>
                <w:color w:val="000000"/>
                <w:kern w:val="0"/>
                <w:szCs w:val="21"/>
              </w:rPr>
              <w:t>重庆市北碚区天府镇后峰路机修厂内</w:t>
            </w:r>
          </w:p>
        </w:tc>
        <w:tc>
          <w:tcPr>
            <w:tcW w:w="571" w:type="dxa"/>
            <w:vAlign w:val="center"/>
          </w:tcPr>
          <w:p>
            <w:pPr>
              <w:rPr>
                <w:rFonts w:hint="default" w:eastAsia="宋体"/>
                <w:lang w:val="en-US" w:eastAsia="zh-CN"/>
              </w:rPr>
            </w:pPr>
            <w:r>
              <w:rPr>
                <w:rFonts w:hint="eastAsia"/>
                <w:lang w:val="en-US" w:eastAsia="zh-CN"/>
              </w:rPr>
              <w:t>15</w:t>
            </w:r>
          </w:p>
        </w:tc>
        <w:tc>
          <w:tcPr>
            <w:tcW w:w="2803" w:type="dxa"/>
            <w:vAlign w:val="center"/>
          </w:tcPr>
          <w:p>
            <w:pPr>
              <w:rPr>
                <w:lang w:eastAsia="ja-JP"/>
              </w:rPr>
            </w:pPr>
            <w:r>
              <w:rPr>
                <w:rFonts w:ascii="宋体" w:hAnsi="宋体" w:cs="宋体"/>
                <w:color w:val="000000"/>
                <w:kern w:val="0"/>
                <w:szCs w:val="21"/>
              </w:rPr>
              <w:t>金属结构、建筑用金属配件、模具、农业机械的制造</w:t>
            </w:r>
          </w:p>
        </w:tc>
        <w:tc>
          <w:tcPr>
            <w:tcW w:w="669" w:type="dxa"/>
            <w:vAlign w:val="center"/>
          </w:tcPr>
          <w:p>
            <w:pPr>
              <w:rPr>
                <w:lang w:eastAsia="ja-JP"/>
              </w:rPr>
            </w:pPr>
            <w:r>
              <w:rPr>
                <w:rFonts w:ascii="宋体" w:hAnsi="宋体" w:cs="宋体"/>
                <w:color w:val="000000"/>
                <w:kern w:val="0"/>
                <w:szCs w:val="21"/>
              </w:rPr>
              <w:t>GB/T19001-2016</w:t>
            </w:r>
          </w:p>
        </w:tc>
        <w:tc>
          <w:tcPr>
            <w:tcW w:w="668" w:type="dxa"/>
            <w:shd w:val="clear" w:color="auto" w:fill="FFFFFF"/>
            <w:vAlign w:val="top"/>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eastAsia="zh-CN"/>
        </w:rPr>
      </w:pPr>
      <w:r>
        <w:rPr>
          <w:rFonts w:hint="eastAsia"/>
        </w:rPr>
        <w:t>三、任何影响审核方案的重要事项：</w:t>
      </w:r>
      <w:r>
        <w:rPr>
          <w:rFonts w:hint="eastAsia"/>
          <w:lang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2503"/>
        <w:gridCol w:w="3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2503" w:type="dxa"/>
            <w:vAlign w:val="center"/>
          </w:tcPr>
          <w:p>
            <w:r>
              <w:rPr>
                <w:rFonts w:hint="eastAsia"/>
              </w:rPr>
              <w:t>审核员注册证书号</w:t>
            </w:r>
          </w:p>
        </w:tc>
        <w:tc>
          <w:tcPr>
            <w:tcW w:w="3546"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2503" w:type="dxa"/>
            <w:vAlign w:val="center"/>
          </w:tcPr>
          <w:p>
            <w:r>
              <w:t>2019-N1QMS-3093566</w:t>
            </w:r>
          </w:p>
        </w:tc>
        <w:tc>
          <w:tcPr>
            <w:tcW w:w="3546" w:type="dxa"/>
            <w:vAlign w:val="center"/>
          </w:tcPr>
          <w:p>
            <w:r>
              <w:t>17.06.01,17.11.03,17.12.05,18.03.00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2503" w:type="dxa"/>
            <w:vAlign w:val="center"/>
          </w:tcPr>
          <w:p>
            <w:r>
              <w:t>2021-N1QMS-3207381</w:t>
            </w:r>
          </w:p>
        </w:tc>
        <w:tc>
          <w:tcPr>
            <w:tcW w:w="3546" w:type="dxa"/>
            <w:vAlign w:val="center"/>
          </w:tcPr>
          <w:p>
            <w:r>
              <w:t>17.11.03,17.12.05,18.03.00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2503" w:type="dxa"/>
            <w:vAlign w:val="center"/>
          </w:tcPr>
          <w:p>
            <w:r>
              <w:rPr>
                <w:rFonts w:hint="eastAsia"/>
              </w:rPr>
              <w:t>工作单位</w:t>
            </w:r>
          </w:p>
        </w:tc>
        <w:tc>
          <w:tcPr>
            <w:tcW w:w="3546"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2503" w:type="dxa"/>
            <w:vAlign w:val="center"/>
          </w:tcPr>
          <w:p/>
        </w:tc>
        <w:tc>
          <w:tcPr>
            <w:tcW w:w="354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2503" w:type="dxa"/>
            <w:vAlign w:val="center"/>
          </w:tcPr>
          <w:p/>
        </w:tc>
        <w:tc>
          <w:tcPr>
            <w:tcW w:w="3546"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849"/>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194" w:hRule="atLeast"/>
          <w:jc w:val="center"/>
        </w:trPr>
        <w:tc>
          <w:tcPr>
            <w:tcW w:w="284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84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84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ascii="宋体" w:hAnsi="宋体" w:cs="宋体"/>
                <w:color w:val="000000" w:themeColor="text1"/>
                <w:szCs w:val="21"/>
                <w:lang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84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84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名片，公司宣传册，标书等）</w:t>
            </w:r>
          </w:p>
        </w:tc>
      </w:tr>
    </w:tbl>
    <w:p/>
    <w:p>
      <w:r>
        <w:rPr>
          <w:rFonts w:hint="eastAsia"/>
        </w:rPr>
        <w:t>八、已识别出的任何未解决的问题：</w:t>
      </w:r>
    </w:p>
    <w:p>
      <w:pPr>
        <w:rPr>
          <w:rFonts w:hint="eastAsia" w:eastAsia="宋体"/>
          <w:lang w:eastAsia="zh-CN"/>
        </w:rPr>
      </w:pPr>
      <w:r>
        <w:rPr>
          <w:rFonts w:hint="eastAsia"/>
        </w:rPr>
        <w:t>□可能影响本次审核结论可靠性的因素：</w:t>
      </w:r>
      <w:r>
        <w:rPr>
          <w:rFonts w:hint="eastAsia"/>
          <w:lang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2336" behindDoc="0" locked="0" layoutInCell="1" allowOverlap="1">
                  <wp:simplePos x="0" y="0"/>
                  <wp:positionH relativeFrom="column">
                    <wp:posOffset>567690</wp:posOffset>
                  </wp:positionH>
                  <wp:positionV relativeFrom="paragraph">
                    <wp:posOffset>19685</wp:posOffset>
                  </wp:positionV>
                  <wp:extent cx="371475" cy="341630"/>
                  <wp:effectExtent l="0" t="0" r="9525" b="889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ascii="宋体" w:hAnsi="宋体" w:cs="宋体"/>
                <w:color w:val="000000"/>
                <w:kern w:val="0"/>
                <w:szCs w:val="21"/>
              </w:rPr>
              <w:t>2022年02月22日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rPr>
          <w:shd w:val="clear" w:color="FFFFFF" w:fill="D9D9D9"/>
        </w:rPr>
      </w:pPr>
    </w:p>
    <w:p>
      <w:pPr>
        <w:rPr>
          <w:shd w:val="clear" w:color="FFFFFF" w:fill="D9D9D9"/>
        </w:rPr>
      </w:pPr>
    </w:p>
    <w:p>
      <w:pPr>
        <w:rPr>
          <w:shd w:val="clear" w:color="FFFFFF" w:fill="D9D9D9"/>
        </w:rPr>
      </w:pPr>
    </w:p>
    <w:p>
      <w:pPr>
        <w:rPr>
          <w:shd w:val="clear" w:color="FFFFFF" w:fill="D9D9D9"/>
        </w:rPr>
      </w:pPr>
      <w:r>
        <w:rPr>
          <w:shd w:val="clear" w:color="FFFFFF" w:fill="D9D9D9"/>
        </w:rPr>
        <w:t>附件ISO 9001:2015 (若不是ISO 9001:2015审核请删除)</w:t>
      </w:r>
    </w:p>
    <w:tbl>
      <w:tblPr>
        <w:tblStyle w:val="9"/>
        <w:tblW w:w="1051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094"/>
        <w:gridCol w:w="9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94" w:type="dxa"/>
            <w:shd w:val="clear" w:color="auto" w:fill="C7DAF1" w:themeFill="text2" w:themeFillTint="32"/>
          </w:tcPr>
          <w:p>
            <w:pPr>
              <w:shd w:val="clear" w:color="auto" w:fill="C7DAF1" w:themeFill="text2" w:themeFillTint="32"/>
            </w:pPr>
            <w:r>
              <w:rPr>
                <w:rFonts w:hint="eastAsia"/>
              </w:rPr>
              <w:t>审核周期</w:t>
            </w:r>
          </w:p>
        </w:tc>
        <w:tc>
          <w:tcPr>
            <w:tcW w:w="9424"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94" w:type="dxa"/>
            <w:shd w:val="clear" w:color="auto" w:fill="C7DAF1" w:themeFill="text2" w:themeFillTint="32"/>
          </w:tcPr>
          <w:p>
            <w:pPr>
              <w:shd w:val="clear" w:color="auto" w:fill="C7DAF1" w:themeFill="text2" w:themeFillTint="32"/>
            </w:pPr>
            <w:r>
              <w:rPr>
                <w:rFonts w:hint="eastAsia"/>
              </w:rPr>
              <w:t>体系要素</w:t>
            </w:r>
          </w:p>
        </w:tc>
        <w:tc>
          <w:tcPr>
            <w:tcW w:w="9424"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094" w:type="dxa"/>
            <w:vMerge w:val="restart"/>
            <w:shd w:val="clear" w:color="auto" w:fill="C7DAF1" w:themeFill="text2" w:themeFillTint="32"/>
          </w:tcPr>
          <w:p>
            <w:pPr>
              <w:shd w:val="clear" w:color="auto" w:fill="C7DAF1" w:themeFill="text2" w:themeFillTint="32"/>
            </w:pPr>
            <w:r>
              <w:rPr>
                <w:rFonts w:hint="eastAsia"/>
              </w:rPr>
              <w:t>组织环境</w:t>
            </w:r>
          </w:p>
        </w:tc>
        <w:tc>
          <w:tcPr>
            <w:tcW w:w="9424"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□知识■绩效 □工艺■设备■人员能力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094" w:type="dxa"/>
            <w:vMerge w:val="continue"/>
            <w:shd w:val="clear" w:color="auto" w:fill="C7DAF1" w:themeFill="text2" w:themeFillTint="32"/>
          </w:tcPr>
          <w:p>
            <w:pPr>
              <w:shd w:val="clear" w:color="auto" w:fill="C7DAF1" w:themeFill="text2" w:themeFillTint="32"/>
            </w:pPr>
          </w:p>
        </w:tc>
        <w:tc>
          <w:tcPr>
            <w:tcW w:w="9424"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094" w:type="dxa"/>
            <w:vMerge w:val="continue"/>
            <w:shd w:val="clear" w:color="auto" w:fill="C7DAF1" w:themeFill="text2" w:themeFillTint="32"/>
          </w:tcPr>
          <w:p>
            <w:pPr>
              <w:shd w:val="clear" w:color="auto" w:fill="C7DAF1" w:themeFill="text2" w:themeFillTint="32"/>
            </w:pPr>
          </w:p>
        </w:tc>
        <w:tc>
          <w:tcPr>
            <w:tcW w:w="9424"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094" w:type="dxa"/>
            <w:vMerge w:val="continue"/>
            <w:shd w:val="clear" w:color="auto" w:fill="C7DAF1" w:themeFill="text2" w:themeFillTint="32"/>
          </w:tcPr>
          <w:p>
            <w:pPr>
              <w:shd w:val="clear" w:color="auto" w:fill="C7DAF1" w:themeFill="text2" w:themeFillTint="32"/>
            </w:pPr>
          </w:p>
        </w:tc>
        <w:tc>
          <w:tcPr>
            <w:tcW w:w="9424"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■设备能力■人员能力 □检测水平■合同评审 □知识保密 </w:t>
            </w:r>
          </w:p>
          <w:p>
            <w:pPr>
              <w:shd w:val="clear" w:color="auto" w:fill="C7DAF1" w:themeFill="text2" w:themeFillTint="32"/>
              <w:spacing w:before="40" w:after="40"/>
            </w:pPr>
            <w:r>
              <w:rPr>
                <w:rFonts w:hint="eastAsia"/>
              </w:rPr>
              <w:t>□新产品设计开发■原材料采购■外部供方控制 ■生产/服务控制 □其他</w:t>
            </w:r>
          </w:p>
          <w:p>
            <w:pPr>
              <w:shd w:val="clear" w:color="auto" w:fill="C7DAF1" w:themeFill="text2" w:themeFillTint="32"/>
              <w:spacing w:before="40" w:after="40"/>
              <w:rPr>
                <w:rFonts w:ascii="宋体" w:hAnsi="宋体"/>
                <w:b/>
                <w:bCs/>
                <w:color w:val="000000" w:themeColor="text1"/>
                <w:szCs w:val="21"/>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color w:val="000000" w:themeColor="text1"/>
                <w:lang w:val="en-GB"/>
              </w:rPr>
              <w:t>）：</w:t>
            </w:r>
            <w:r>
              <w:rPr>
                <w:rFonts w:hint="eastAsia" w:ascii="宋体" w:hAnsi="宋体"/>
                <w:b/>
                <w:bCs/>
                <w:color w:val="000000" w:themeColor="text1"/>
                <w:szCs w:val="21"/>
              </w:rPr>
              <w:t>无</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94" w:type="dxa"/>
            <w:vMerge w:val="restart"/>
            <w:shd w:val="clear" w:color="auto" w:fill="C7DAF1" w:themeFill="text2" w:themeFillTint="32"/>
          </w:tcPr>
          <w:p>
            <w:pPr>
              <w:shd w:val="clear" w:color="auto" w:fill="C7DAF1" w:themeFill="text2" w:themeFillTint="32"/>
            </w:pPr>
            <w:r>
              <w:rPr>
                <w:rFonts w:hint="eastAsia"/>
              </w:rPr>
              <w:t>领导作用</w:t>
            </w:r>
          </w:p>
        </w:tc>
        <w:tc>
          <w:tcPr>
            <w:tcW w:w="9424"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94" w:type="dxa"/>
            <w:vMerge w:val="continue"/>
            <w:shd w:val="clear" w:color="auto" w:fill="C7DAF1" w:themeFill="text2" w:themeFillTint="32"/>
          </w:tcPr>
          <w:p>
            <w:pPr>
              <w:shd w:val="clear" w:color="auto" w:fill="C7DAF1" w:themeFill="text2" w:themeFillTint="32"/>
            </w:pPr>
          </w:p>
        </w:tc>
        <w:tc>
          <w:tcPr>
            <w:tcW w:w="9424"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94" w:type="dxa"/>
            <w:vMerge w:val="continue"/>
            <w:shd w:val="clear" w:color="auto" w:fill="C7DAF1" w:themeFill="text2" w:themeFillTint="32"/>
          </w:tcPr>
          <w:p>
            <w:pPr>
              <w:shd w:val="clear" w:color="auto" w:fill="C7DAF1" w:themeFill="text2" w:themeFillTint="32"/>
            </w:pPr>
          </w:p>
        </w:tc>
        <w:tc>
          <w:tcPr>
            <w:tcW w:w="9424" w:type="dxa"/>
            <w:shd w:val="clear" w:color="auto" w:fill="C7DAF1" w:themeFill="text2" w:themeFillTint="32"/>
          </w:tcPr>
          <w:p>
            <w:pPr>
              <w:spacing w:line="360" w:lineRule="auto"/>
            </w:pPr>
            <w:r>
              <w:rPr>
                <w:rFonts w:hint="eastAsia"/>
              </w:rPr>
              <w:t>最高管理者制定了文件化的管理体系方针：</w:t>
            </w:r>
          </w:p>
          <w:p>
            <w:pPr>
              <w:shd w:val="clear" w:color="auto" w:fill="C7DAF1" w:themeFill="text2" w:themeFillTint="32"/>
              <w:rPr>
                <w:rFonts w:hint="eastAsia"/>
                <w:b/>
                <w:bCs/>
                <w:color w:val="000000"/>
                <w:szCs w:val="18"/>
                <w:lang w:val="en-US" w:eastAsia="zh-CN"/>
              </w:rPr>
            </w:pPr>
            <w:r>
              <w:rPr>
                <w:rFonts w:hint="eastAsia"/>
                <w:b/>
                <w:bCs/>
                <w:color w:val="000000"/>
                <w:szCs w:val="18"/>
                <w:lang w:val="en-US" w:eastAsia="zh-CN"/>
              </w:rPr>
              <w:t>质量第一，用户至上，以先进而可靠的技术，科学而高效的管理，提供国内外用户满意、质量第一流的产品</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584" w:hRule="atLeast"/>
        </w:trPr>
        <w:tc>
          <w:tcPr>
            <w:tcW w:w="1094" w:type="dxa"/>
            <w:vMerge w:val="continue"/>
            <w:shd w:val="clear" w:color="auto" w:fill="C7DAF1" w:themeFill="text2" w:themeFillTint="32"/>
          </w:tcPr>
          <w:p>
            <w:pPr>
              <w:shd w:val="clear" w:color="auto" w:fill="C7DAF1" w:themeFill="text2" w:themeFillTint="32"/>
            </w:pPr>
          </w:p>
        </w:tc>
        <w:tc>
          <w:tcPr>
            <w:tcW w:w="9424"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b/>
                <w:bCs/>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94" w:type="dxa"/>
            <w:vMerge w:val="restart"/>
            <w:shd w:val="clear" w:color="auto" w:fill="C7DAF1" w:themeFill="text2" w:themeFillTint="32"/>
          </w:tcPr>
          <w:p>
            <w:pPr>
              <w:shd w:val="clear" w:color="auto" w:fill="C7DAF1" w:themeFill="text2" w:themeFillTint="32"/>
            </w:pPr>
            <w:r>
              <w:rPr>
                <w:rFonts w:hint="eastAsia"/>
              </w:rPr>
              <w:t>策划</w:t>
            </w:r>
          </w:p>
        </w:tc>
        <w:tc>
          <w:tcPr>
            <w:tcW w:w="9424"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Cs w:val="21"/>
                    </w:rPr>
                    <w:t>法律、法规内容的变化</w:t>
                  </w:r>
                </w:p>
              </w:tc>
              <w:tc>
                <w:tcPr>
                  <w:tcW w:w="3965" w:type="dxa"/>
                </w:tcPr>
                <w:p>
                  <w:pPr>
                    <w:spacing w:line="360" w:lineRule="auto"/>
                  </w:pPr>
                  <w:r>
                    <w:rPr>
                      <w:rFonts w:hint="eastAsia" w:ascii="宋体" w:hAnsi="宋体" w:cs="宋体"/>
                      <w:szCs w:val="21"/>
                    </w:rPr>
                    <w:t>主要职能部门按照要求加强相关产品销售区域所在地法政策的收集评价。</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Cs w:val="21"/>
                    </w:rPr>
                    <w:t>公司产品售后服务处理不好，顾客埋怨投诉较多，会严重影响公司产品的销售，会给公司发展带来较大的客户流失风险</w:t>
                  </w:r>
                </w:p>
              </w:tc>
              <w:tc>
                <w:tcPr>
                  <w:tcW w:w="3965" w:type="dxa"/>
                </w:tcPr>
                <w:p>
                  <w:pPr>
                    <w:shd w:val="clear" w:color="auto" w:fill="C7DAF1" w:themeFill="text2" w:themeFillTint="32"/>
                  </w:pPr>
                  <w:r>
                    <w:rPr>
                      <w:rFonts w:hint="eastAsia" w:ascii="宋体" w:hAnsi="宋体" w:cs="宋体"/>
                      <w:szCs w:val="21"/>
                    </w:rPr>
                    <w:t>销售部和质量管理部要严格按照售后服务管理规定，做好客户服务工作，提高客户满意度</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人员能力不满足生产技术的发展</w:t>
                  </w:r>
                </w:p>
              </w:tc>
              <w:tc>
                <w:tcPr>
                  <w:tcW w:w="3965" w:type="dxa"/>
                </w:tcPr>
                <w:p>
                  <w:pPr>
                    <w:shd w:val="clear" w:color="auto" w:fill="C7DAF1" w:themeFill="text2" w:themeFillTint="32"/>
                  </w:pPr>
                  <w:r>
                    <w:rPr>
                      <w:rFonts w:hint="eastAsia"/>
                    </w:rPr>
                    <w:t>加大人员岗位能力培训</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原材料的质量及价格使公司的产品不具备竞争能力</w:t>
                  </w:r>
                </w:p>
              </w:tc>
              <w:tc>
                <w:tcPr>
                  <w:tcW w:w="3965" w:type="dxa"/>
                </w:tcPr>
                <w:p>
                  <w:pPr>
                    <w:shd w:val="clear" w:color="auto" w:fill="C7DAF1" w:themeFill="text2" w:themeFillTint="32"/>
                  </w:pPr>
                  <w:r>
                    <w:rPr>
                      <w:rFonts w:hint="eastAsia"/>
                    </w:rPr>
                    <w:t>对供方进行评价评审后比选采购</w:t>
                  </w:r>
                </w:p>
              </w:tc>
              <w:tc>
                <w:tcPr>
                  <w:tcW w:w="1717" w:type="dxa"/>
                </w:tcPr>
                <w:p>
                  <w:pPr>
                    <w:shd w:val="clear" w:color="auto" w:fill="C7DAF1" w:themeFill="text2" w:themeFillTint="32"/>
                  </w:pPr>
                  <w:r>
                    <w:rPr>
                      <w:rFonts w:hint="eastAsia"/>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94" w:type="dxa"/>
            <w:vMerge w:val="continue"/>
            <w:shd w:val="clear" w:color="auto" w:fill="C7DAF1" w:themeFill="text2" w:themeFillTint="32"/>
          </w:tcPr>
          <w:p>
            <w:pPr>
              <w:shd w:val="clear" w:color="auto" w:fill="C7DAF1" w:themeFill="text2" w:themeFillTint="32"/>
            </w:pPr>
          </w:p>
        </w:tc>
        <w:tc>
          <w:tcPr>
            <w:tcW w:w="9424" w:type="dxa"/>
            <w:shd w:val="clear" w:color="auto" w:fill="C7DAF1" w:themeFill="text2" w:themeFillTint="32"/>
          </w:tcPr>
          <w:p>
            <w:pPr>
              <w:shd w:val="clear" w:color="auto" w:fill="C7DAF1" w:themeFill="text2" w:themeFillTint="32"/>
              <w:rPr>
                <w:color w:val="000000" w:themeColor="text1"/>
              </w:rPr>
            </w:pPr>
            <w:r>
              <w:rPr>
                <w:rFonts w:hint="eastAsia"/>
                <w:color w:val="000000" w:themeColor="text1"/>
              </w:rPr>
              <w:t>组织建立了与方针一致的文件化的管理目标。为实现总质量目标而建立的各层级质量目标具体、有针对性、可测量并且可实现。</w:t>
            </w:r>
          </w:p>
          <w:p>
            <w:pPr>
              <w:shd w:val="clear" w:color="auto" w:fill="C7DAF1" w:themeFill="text2" w:themeFillTint="32"/>
              <w:rPr>
                <w:color w:val="000000" w:themeColor="text1"/>
              </w:rPr>
            </w:pPr>
            <w:r>
              <w:rPr>
                <w:rFonts w:hint="eastAsia"/>
                <w:color w:val="000000" w:themeColor="text1"/>
              </w:rPr>
              <w:t>总质量目标实现情况的评价，及其测量方法是：</w:t>
            </w:r>
          </w:p>
          <w:tbl>
            <w:tblPr>
              <w:tblStyle w:val="9"/>
              <w:tblW w:w="9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2"/>
              <w:gridCol w:w="1245"/>
              <w:gridCol w:w="3092"/>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2" w:type="dxa"/>
                </w:tcPr>
                <w:p>
                  <w:pPr>
                    <w:widowControl/>
                    <w:spacing w:before="40"/>
                    <w:jc w:val="left"/>
                    <w:rPr>
                      <w:rFonts w:hint="eastAsia"/>
                      <w:color w:val="000000"/>
                      <w:szCs w:val="18"/>
                    </w:rPr>
                  </w:pPr>
                  <w:r>
                    <w:rPr>
                      <w:rFonts w:hint="eastAsia"/>
                      <w:color w:val="000000"/>
                      <w:szCs w:val="18"/>
                    </w:rPr>
                    <w:t>目标</w:t>
                  </w:r>
                </w:p>
              </w:tc>
              <w:tc>
                <w:tcPr>
                  <w:tcW w:w="1245" w:type="dxa"/>
                </w:tcPr>
                <w:p>
                  <w:pPr>
                    <w:widowControl/>
                    <w:spacing w:before="40"/>
                    <w:jc w:val="left"/>
                    <w:rPr>
                      <w:rFonts w:hint="eastAsia"/>
                      <w:color w:val="000000"/>
                      <w:szCs w:val="18"/>
                    </w:rPr>
                  </w:pPr>
                  <w:r>
                    <w:rPr>
                      <w:rFonts w:hint="eastAsia"/>
                      <w:color w:val="000000"/>
                      <w:szCs w:val="18"/>
                    </w:rPr>
                    <w:t>考核频次</w:t>
                  </w:r>
                </w:p>
              </w:tc>
              <w:tc>
                <w:tcPr>
                  <w:tcW w:w="3092" w:type="dxa"/>
                </w:tcPr>
                <w:p>
                  <w:pPr>
                    <w:widowControl/>
                    <w:spacing w:before="40"/>
                    <w:jc w:val="left"/>
                    <w:rPr>
                      <w:rFonts w:hint="eastAsia"/>
                      <w:color w:val="000000"/>
                      <w:szCs w:val="18"/>
                    </w:rPr>
                  </w:pPr>
                  <w:r>
                    <w:rPr>
                      <w:rFonts w:hint="eastAsia"/>
                      <w:color w:val="000000"/>
                      <w:szCs w:val="18"/>
                    </w:rPr>
                    <w:t>计算方法</w:t>
                  </w:r>
                </w:p>
              </w:tc>
              <w:tc>
                <w:tcPr>
                  <w:tcW w:w="2444" w:type="dxa"/>
                </w:tcPr>
                <w:p>
                  <w:pPr>
                    <w:widowControl/>
                    <w:spacing w:before="40"/>
                    <w:jc w:val="left"/>
                    <w:rPr>
                      <w:rFonts w:hint="eastAsia"/>
                      <w:color w:val="000000"/>
                      <w:szCs w:val="18"/>
                    </w:rPr>
                  </w:pPr>
                  <w:r>
                    <w:rPr>
                      <w:rFonts w:hint="eastAsia"/>
                      <w:color w:val="000000"/>
                      <w:szCs w:val="18"/>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2" w:type="dxa"/>
                </w:tcPr>
                <w:p>
                  <w:pPr>
                    <w:widowControl/>
                    <w:spacing w:before="40"/>
                    <w:jc w:val="left"/>
                    <w:rPr>
                      <w:rFonts w:hint="eastAsia"/>
                      <w:color w:val="000000"/>
                      <w:szCs w:val="18"/>
                    </w:rPr>
                  </w:pPr>
                  <w:r>
                    <w:rPr>
                      <w:rFonts w:hint="eastAsia"/>
                      <w:color w:val="000000"/>
                      <w:szCs w:val="18"/>
                      <w:lang w:val="en-US" w:eastAsia="zh-CN"/>
                    </w:rPr>
                    <w:t>成品交验一次合格率≥98%</w:t>
                  </w:r>
                </w:p>
              </w:tc>
              <w:tc>
                <w:tcPr>
                  <w:tcW w:w="1245" w:type="dxa"/>
                </w:tcPr>
                <w:p>
                  <w:pPr>
                    <w:widowControl/>
                    <w:spacing w:before="40"/>
                    <w:jc w:val="left"/>
                    <w:rPr>
                      <w:rFonts w:hint="eastAsia"/>
                      <w:color w:val="000000"/>
                      <w:szCs w:val="18"/>
                      <w:lang w:eastAsia="zh-CN"/>
                    </w:rPr>
                  </w:pPr>
                  <w:r>
                    <w:rPr>
                      <w:rFonts w:hint="eastAsia"/>
                      <w:color w:val="000000"/>
                      <w:szCs w:val="18"/>
                      <w:lang w:eastAsia="zh-CN"/>
                    </w:rPr>
                    <w:t>每季度</w:t>
                  </w:r>
                </w:p>
              </w:tc>
              <w:tc>
                <w:tcPr>
                  <w:tcW w:w="3092" w:type="dxa"/>
                </w:tcPr>
                <w:p>
                  <w:pPr>
                    <w:widowControl/>
                    <w:spacing w:before="40"/>
                    <w:jc w:val="left"/>
                    <w:rPr>
                      <w:rFonts w:hint="eastAsia"/>
                      <w:color w:val="000000"/>
                      <w:szCs w:val="18"/>
                    </w:rPr>
                  </w:pPr>
                  <w:r>
                    <w:rPr>
                      <w:rFonts w:hint="eastAsia"/>
                      <w:color w:val="000000"/>
                      <w:szCs w:val="18"/>
                      <w:lang w:val="en-US" w:eastAsia="zh-CN"/>
                    </w:rPr>
                    <w:t>成品交验一次合格数/成品总*100%</w:t>
                  </w:r>
                </w:p>
              </w:tc>
              <w:tc>
                <w:tcPr>
                  <w:tcW w:w="2444" w:type="dxa"/>
                </w:tcPr>
                <w:p>
                  <w:pPr>
                    <w:widowControl/>
                    <w:spacing w:before="40"/>
                    <w:jc w:val="left"/>
                    <w:rPr>
                      <w:rFonts w:hint="default"/>
                      <w:color w:val="000000"/>
                      <w:szCs w:val="18"/>
                      <w:lang w:val="en-US" w:eastAsia="zh-CN"/>
                    </w:rPr>
                  </w:pPr>
                  <w:r>
                    <w:rPr>
                      <w:rFonts w:hint="eastAsia"/>
                      <w:color w:val="000000"/>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2" w:type="dxa"/>
                </w:tcPr>
                <w:p>
                  <w:pPr>
                    <w:widowControl/>
                    <w:spacing w:before="40"/>
                    <w:jc w:val="left"/>
                    <w:rPr>
                      <w:rFonts w:hint="eastAsia"/>
                      <w:color w:val="000000"/>
                      <w:szCs w:val="18"/>
                    </w:rPr>
                  </w:pPr>
                  <w:r>
                    <w:rPr>
                      <w:rFonts w:hint="eastAsia"/>
                      <w:color w:val="000000"/>
                      <w:szCs w:val="18"/>
                      <w:lang w:val="en-US" w:eastAsia="zh-CN"/>
                    </w:rPr>
                    <w:t>进货一次交验合格率≥95%</w:t>
                  </w:r>
                </w:p>
              </w:tc>
              <w:tc>
                <w:tcPr>
                  <w:tcW w:w="1245" w:type="dxa"/>
                </w:tcPr>
                <w:p>
                  <w:pPr>
                    <w:widowControl/>
                    <w:spacing w:before="40"/>
                    <w:jc w:val="left"/>
                    <w:rPr>
                      <w:rFonts w:hint="eastAsia"/>
                      <w:color w:val="000000"/>
                      <w:szCs w:val="18"/>
                    </w:rPr>
                  </w:pPr>
                  <w:r>
                    <w:rPr>
                      <w:rFonts w:hint="eastAsia"/>
                      <w:color w:val="000000"/>
                      <w:szCs w:val="18"/>
                      <w:lang w:eastAsia="zh-CN"/>
                    </w:rPr>
                    <w:t>每季度</w:t>
                  </w:r>
                </w:p>
              </w:tc>
              <w:tc>
                <w:tcPr>
                  <w:tcW w:w="3092" w:type="dxa"/>
                </w:tcPr>
                <w:p>
                  <w:pPr>
                    <w:widowControl/>
                    <w:spacing w:before="40"/>
                    <w:jc w:val="left"/>
                    <w:rPr>
                      <w:rFonts w:hint="eastAsia"/>
                      <w:color w:val="000000"/>
                      <w:szCs w:val="18"/>
                    </w:rPr>
                  </w:pPr>
                  <w:r>
                    <w:rPr>
                      <w:rFonts w:hint="eastAsia"/>
                      <w:color w:val="000000"/>
                      <w:szCs w:val="18"/>
                      <w:lang w:val="en-US" w:eastAsia="zh-CN"/>
                    </w:rPr>
                    <w:t>进货一次交验合格数/进货交验总数*100%</w:t>
                  </w:r>
                </w:p>
              </w:tc>
              <w:tc>
                <w:tcPr>
                  <w:tcW w:w="2444" w:type="dxa"/>
                </w:tcPr>
                <w:p>
                  <w:pPr>
                    <w:widowControl/>
                    <w:spacing w:before="40"/>
                    <w:jc w:val="left"/>
                    <w:rPr>
                      <w:rFonts w:hint="eastAsia"/>
                      <w:color w:val="000000"/>
                      <w:szCs w:val="18"/>
                    </w:rPr>
                  </w:pPr>
                  <w:r>
                    <w:rPr>
                      <w:rFonts w:hint="eastAsia"/>
                      <w:color w:val="000000"/>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2" w:type="dxa"/>
                </w:tcPr>
                <w:p>
                  <w:pPr>
                    <w:widowControl/>
                    <w:spacing w:before="40"/>
                    <w:jc w:val="left"/>
                    <w:rPr>
                      <w:rFonts w:hint="eastAsia"/>
                      <w:color w:val="000000"/>
                      <w:szCs w:val="18"/>
                    </w:rPr>
                  </w:pPr>
                  <w:r>
                    <w:rPr>
                      <w:rFonts w:hint="eastAsia"/>
                      <w:color w:val="000000"/>
                      <w:szCs w:val="18"/>
                      <w:lang w:val="en-US" w:eastAsia="zh-CN"/>
                    </w:rPr>
                    <w:t xml:space="preserve">顾客满意率≥90%； </w:t>
                  </w:r>
                </w:p>
              </w:tc>
              <w:tc>
                <w:tcPr>
                  <w:tcW w:w="1245" w:type="dxa"/>
                </w:tcPr>
                <w:p>
                  <w:pPr>
                    <w:widowControl/>
                    <w:spacing w:before="40"/>
                    <w:jc w:val="left"/>
                    <w:rPr>
                      <w:rFonts w:hint="eastAsia"/>
                      <w:color w:val="000000"/>
                      <w:szCs w:val="18"/>
                      <w:lang w:eastAsia="zh-CN"/>
                    </w:rPr>
                  </w:pPr>
                  <w:r>
                    <w:rPr>
                      <w:rFonts w:hint="eastAsia"/>
                      <w:color w:val="000000"/>
                      <w:szCs w:val="18"/>
                      <w:lang w:eastAsia="zh-CN"/>
                    </w:rPr>
                    <w:t>每年</w:t>
                  </w:r>
                </w:p>
              </w:tc>
              <w:tc>
                <w:tcPr>
                  <w:tcW w:w="3092" w:type="dxa"/>
                </w:tcPr>
                <w:p>
                  <w:pPr>
                    <w:widowControl/>
                    <w:spacing w:before="40"/>
                    <w:jc w:val="left"/>
                    <w:rPr>
                      <w:rFonts w:hint="eastAsia"/>
                      <w:color w:val="000000"/>
                      <w:szCs w:val="18"/>
                    </w:rPr>
                  </w:pPr>
                  <w:r>
                    <w:rPr>
                      <w:rFonts w:hint="eastAsia"/>
                      <w:color w:val="000000"/>
                      <w:szCs w:val="18"/>
                      <w:lang w:val="en-US" w:eastAsia="zh-CN"/>
                    </w:rPr>
                    <w:t>根据顾客满意度调查结果和过程业绩的结果综合计算</w:t>
                  </w:r>
                </w:p>
              </w:tc>
              <w:tc>
                <w:tcPr>
                  <w:tcW w:w="2444" w:type="dxa"/>
                </w:tcPr>
                <w:p>
                  <w:pPr>
                    <w:widowControl/>
                    <w:spacing w:before="40"/>
                    <w:jc w:val="left"/>
                    <w:rPr>
                      <w:rFonts w:hint="default"/>
                      <w:color w:val="000000"/>
                      <w:szCs w:val="18"/>
                      <w:lang w:val="en-US" w:eastAsia="zh-CN"/>
                    </w:rPr>
                  </w:pPr>
                  <w:r>
                    <w:rPr>
                      <w:rFonts w:hint="eastAsia"/>
                      <w:color w:val="000000"/>
                      <w:szCs w:val="18"/>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992" w:type="dxa"/>
                </w:tcPr>
                <w:p>
                  <w:pPr>
                    <w:widowControl/>
                    <w:spacing w:before="40"/>
                    <w:jc w:val="left"/>
                    <w:rPr>
                      <w:rFonts w:hint="eastAsia"/>
                      <w:color w:val="000000"/>
                      <w:szCs w:val="18"/>
                    </w:rPr>
                  </w:pPr>
                  <w:r>
                    <w:rPr>
                      <w:rFonts w:hint="eastAsia"/>
                      <w:color w:val="000000"/>
                      <w:szCs w:val="18"/>
                      <w:lang w:val="en-US" w:eastAsia="zh-CN"/>
                    </w:rPr>
                    <w:t>交付后跟踪服务率100%；</w:t>
                  </w:r>
                </w:p>
              </w:tc>
              <w:tc>
                <w:tcPr>
                  <w:tcW w:w="1245" w:type="dxa"/>
                </w:tcPr>
                <w:p>
                  <w:pPr>
                    <w:widowControl/>
                    <w:spacing w:before="40"/>
                    <w:jc w:val="left"/>
                    <w:rPr>
                      <w:rFonts w:hint="eastAsia"/>
                      <w:color w:val="000000"/>
                      <w:szCs w:val="18"/>
                      <w:lang w:eastAsia="zh-CN"/>
                    </w:rPr>
                  </w:pPr>
                  <w:r>
                    <w:rPr>
                      <w:rFonts w:hint="eastAsia"/>
                      <w:color w:val="000000"/>
                      <w:szCs w:val="18"/>
                      <w:lang w:eastAsia="zh-CN"/>
                    </w:rPr>
                    <w:t>每季度</w:t>
                  </w:r>
                </w:p>
              </w:tc>
              <w:tc>
                <w:tcPr>
                  <w:tcW w:w="3092" w:type="dxa"/>
                </w:tcPr>
                <w:p>
                  <w:pPr>
                    <w:widowControl/>
                    <w:spacing w:before="40"/>
                    <w:jc w:val="left"/>
                    <w:rPr>
                      <w:rFonts w:hint="eastAsia"/>
                      <w:color w:val="000000"/>
                      <w:szCs w:val="18"/>
                    </w:rPr>
                  </w:pPr>
                  <w:r>
                    <w:rPr>
                      <w:rFonts w:hint="eastAsia"/>
                      <w:color w:val="000000"/>
                      <w:szCs w:val="18"/>
                      <w:lang w:val="en-US" w:eastAsia="zh-CN"/>
                    </w:rPr>
                    <w:t>产品交付后跟踪服务次数/产品交付总次数*100%</w:t>
                  </w:r>
                </w:p>
              </w:tc>
              <w:tc>
                <w:tcPr>
                  <w:tcW w:w="2444" w:type="dxa"/>
                </w:tcPr>
                <w:p>
                  <w:pPr>
                    <w:widowControl/>
                    <w:spacing w:before="40"/>
                    <w:jc w:val="left"/>
                    <w:rPr>
                      <w:rFonts w:hint="default"/>
                      <w:color w:val="000000"/>
                      <w:szCs w:val="18"/>
                      <w:lang w:val="en-US" w:eastAsia="zh-CN"/>
                    </w:rPr>
                  </w:pPr>
                  <w:r>
                    <w:rPr>
                      <w:rFonts w:hint="eastAsia"/>
                      <w:color w:val="000000"/>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992" w:type="dxa"/>
                </w:tcPr>
                <w:p>
                  <w:pPr>
                    <w:widowControl/>
                    <w:spacing w:before="40"/>
                    <w:jc w:val="left"/>
                    <w:rPr>
                      <w:rFonts w:hint="eastAsia"/>
                      <w:color w:val="000000"/>
                      <w:szCs w:val="18"/>
                    </w:rPr>
                  </w:pPr>
                  <w:r>
                    <w:rPr>
                      <w:rFonts w:hint="eastAsia"/>
                      <w:color w:val="000000"/>
                      <w:szCs w:val="18"/>
                      <w:lang w:val="en-US" w:eastAsia="zh-CN"/>
                    </w:rPr>
                    <w:t>合同履约率 100%</w:t>
                  </w:r>
                </w:p>
              </w:tc>
              <w:tc>
                <w:tcPr>
                  <w:tcW w:w="1245" w:type="dxa"/>
                </w:tcPr>
                <w:p>
                  <w:pPr>
                    <w:widowControl/>
                    <w:spacing w:before="40"/>
                    <w:jc w:val="left"/>
                    <w:rPr>
                      <w:rFonts w:hint="eastAsia"/>
                      <w:color w:val="000000"/>
                      <w:szCs w:val="18"/>
                      <w:lang w:eastAsia="zh-CN"/>
                    </w:rPr>
                  </w:pPr>
                  <w:r>
                    <w:rPr>
                      <w:rFonts w:hint="eastAsia"/>
                      <w:color w:val="000000"/>
                      <w:szCs w:val="18"/>
                      <w:lang w:eastAsia="zh-CN"/>
                    </w:rPr>
                    <w:t>每季度</w:t>
                  </w:r>
                </w:p>
              </w:tc>
              <w:tc>
                <w:tcPr>
                  <w:tcW w:w="3092" w:type="dxa"/>
                </w:tcPr>
                <w:p>
                  <w:pPr>
                    <w:widowControl/>
                    <w:spacing w:before="40"/>
                    <w:jc w:val="left"/>
                    <w:rPr>
                      <w:rFonts w:hint="eastAsia"/>
                      <w:color w:val="000000"/>
                      <w:szCs w:val="18"/>
                    </w:rPr>
                  </w:pPr>
                  <w:r>
                    <w:rPr>
                      <w:rFonts w:hint="eastAsia"/>
                      <w:color w:val="000000"/>
                      <w:szCs w:val="18"/>
                      <w:lang w:val="en-US" w:eastAsia="zh-CN"/>
                    </w:rPr>
                    <w:t>合同履约数量/ 合同总数*100%</w:t>
                  </w:r>
                </w:p>
              </w:tc>
              <w:tc>
                <w:tcPr>
                  <w:tcW w:w="2444" w:type="dxa"/>
                </w:tcPr>
                <w:p>
                  <w:pPr>
                    <w:widowControl/>
                    <w:spacing w:before="40"/>
                    <w:jc w:val="left"/>
                    <w:rPr>
                      <w:rFonts w:hint="default"/>
                      <w:color w:val="000000"/>
                      <w:szCs w:val="18"/>
                      <w:lang w:val="en-US" w:eastAsia="zh-CN"/>
                    </w:rPr>
                  </w:pPr>
                  <w:r>
                    <w:rPr>
                      <w:rFonts w:hint="eastAsia"/>
                      <w:color w:val="000000"/>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2" w:type="dxa"/>
                </w:tcPr>
                <w:p>
                  <w:pPr>
                    <w:widowControl/>
                    <w:spacing w:before="40"/>
                    <w:jc w:val="left"/>
                    <w:rPr>
                      <w:rFonts w:hint="eastAsia"/>
                      <w:color w:val="000000"/>
                      <w:szCs w:val="18"/>
                    </w:rPr>
                  </w:pPr>
                  <w:r>
                    <w:rPr>
                      <w:rFonts w:hint="eastAsia"/>
                      <w:color w:val="000000"/>
                      <w:szCs w:val="18"/>
                      <w:lang w:val="en-US" w:eastAsia="zh-CN"/>
                    </w:rPr>
                    <w:t>杜绝重大质量事故发生</w:t>
                  </w:r>
                </w:p>
              </w:tc>
              <w:tc>
                <w:tcPr>
                  <w:tcW w:w="1245" w:type="dxa"/>
                </w:tcPr>
                <w:p>
                  <w:pPr>
                    <w:widowControl/>
                    <w:spacing w:before="40"/>
                    <w:jc w:val="left"/>
                    <w:rPr>
                      <w:rFonts w:hint="eastAsia"/>
                      <w:color w:val="000000"/>
                      <w:szCs w:val="18"/>
                      <w:lang w:eastAsia="zh-CN"/>
                    </w:rPr>
                  </w:pPr>
                  <w:r>
                    <w:rPr>
                      <w:rFonts w:hint="eastAsia"/>
                      <w:color w:val="000000"/>
                      <w:szCs w:val="18"/>
                      <w:lang w:eastAsia="zh-CN"/>
                    </w:rPr>
                    <w:t>每季度</w:t>
                  </w:r>
                </w:p>
              </w:tc>
              <w:tc>
                <w:tcPr>
                  <w:tcW w:w="3092" w:type="dxa"/>
                </w:tcPr>
                <w:p>
                  <w:pPr>
                    <w:widowControl/>
                    <w:spacing w:before="40"/>
                    <w:jc w:val="left"/>
                    <w:rPr>
                      <w:rFonts w:hint="eastAsia"/>
                      <w:color w:val="000000"/>
                      <w:szCs w:val="18"/>
                    </w:rPr>
                  </w:pPr>
                  <w:r>
                    <w:rPr>
                      <w:rFonts w:hint="eastAsia"/>
                      <w:color w:val="000000"/>
                      <w:szCs w:val="18"/>
                      <w:lang w:val="en-US" w:eastAsia="zh-CN"/>
                    </w:rPr>
                    <w:t>重大质量事故发生次数统计表</w:t>
                  </w:r>
                </w:p>
              </w:tc>
              <w:tc>
                <w:tcPr>
                  <w:tcW w:w="2444" w:type="dxa"/>
                </w:tcPr>
                <w:p>
                  <w:pPr>
                    <w:widowControl/>
                    <w:spacing w:before="40"/>
                    <w:jc w:val="left"/>
                    <w:rPr>
                      <w:rFonts w:hint="default"/>
                      <w:color w:val="000000"/>
                      <w:szCs w:val="18"/>
                      <w:lang w:val="en-US"/>
                    </w:rPr>
                  </w:pPr>
                  <w:r>
                    <w:rPr>
                      <w:rFonts w:hint="eastAsia"/>
                      <w:color w:val="000000"/>
                      <w:szCs w:val="18"/>
                      <w:lang w:val="en-US" w:eastAsia="zh-CN"/>
                    </w:rPr>
                    <w:t>重大质量事故发生0</w:t>
                  </w:r>
                </w:p>
              </w:tc>
            </w:tr>
          </w:tbl>
          <w:p>
            <w:pPr>
              <w:shd w:val="clear" w:color="auto" w:fill="C7DAF1" w:themeFill="text2" w:themeFillTint="32"/>
              <w:rPr>
                <w:color w:val="000000" w:themeColor="text1"/>
              </w:rPr>
            </w:pPr>
            <w:r>
              <w:rPr>
                <w:rFonts w:hint="eastAsia"/>
                <w:color w:val="000000" w:themeColor="text1"/>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94" w:type="dxa"/>
            <w:vMerge w:val="continue"/>
            <w:shd w:val="clear" w:color="auto" w:fill="C7DAF1" w:themeFill="text2" w:themeFillTint="32"/>
          </w:tcPr>
          <w:p>
            <w:pPr>
              <w:shd w:val="clear" w:color="auto" w:fill="C7DAF1" w:themeFill="text2" w:themeFillTint="32"/>
            </w:pPr>
          </w:p>
        </w:tc>
        <w:tc>
          <w:tcPr>
            <w:tcW w:w="9424" w:type="dxa"/>
            <w:shd w:val="clear" w:color="auto" w:fill="C7DAF1" w:themeFill="text2" w:themeFillTint="32"/>
          </w:tcPr>
          <w:p>
            <w:pPr>
              <w:shd w:val="clear" w:color="auto" w:fill="C7DAF1" w:themeFill="text2" w:themeFillTint="32"/>
              <w:rPr>
                <w:color w:val="000000" w:themeColor="text1"/>
              </w:rPr>
            </w:pPr>
            <w:r>
              <w:rPr>
                <w:rFonts w:hint="eastAsia"/>
                <w:color w:val="000000" w:themeColor="text1"/>
              </w:rPr>
              <w:t>组织对相关管理体系进行变更时，变更应按所策划的方式实施；审核周期内的重大变更有：</w:t>
            </w:r>
          </w:p>
          <w:p>
            <w:pPr>
              <w:shd w:val="clear" w:color="auto" w:fill="C7DAF1" w:themeFill="text2" w:themeFillTint="32"/>
              <w:spacing w:before="40" w:after="40"/>
              <w:rPr>
                <w:color w:val="000000" w:themeColor="text1"/>
              </w:rPr>
            </w:pPr>
            <w:r>
              <w:rPr>
                <w:rFonts w:hint="eastAsia"/>
                <w:color w:val="000000" w:themeColor="text1"/>
              </w:rPr>
              <w:t xml:space="preserve">□组织结构变更 □部门职责变更 □主要原材料 □关键人员 □生产工艺/服务流程 </w:t>
            </w:r>
          </w:p>
          <w:p>
            <w:pPr>
              <w:shd w:val="clear" w:color="auto" w:fill="C7DAF1" w:themeFill="text2" w:themeFillTint="32"/>
              <w:spacing w:before="40" w:after="40"/>
              <w:rPr>
                <w:color w:val="000000" w:themeColor="text1"/>
              </w:rPr>
            </w:pPr>
            <w:r>
              <w:rPr>
                <w:rFonts w:hint="eastAsia"/>
                <w:color w:val="000000" w:themeColor="text1"/>
              </w:rPr>
              <w:t>□主要设备设施 □主要检测设备 □其他</w:t>
            </w:r>
          </w:p>
          <w:p>
            <w:pPr>
              <w:shd w:val="clear" w:color="auto" w:fill="C7DAF1" w:themeFill="text2" w:themeFillTint="32"/>
              <w:spacing w:before="40" w:after="40"/>
              <w:rPr>
                <w:color w:val="000000" w:themeColor="text1"/>
              </w:rPr>
            </w:pPr>
            <w:r>
              <w:rPr>
                <w:rFonts w:hint="eastAsia"/>
                <w:color w:val="000000" w:themeColor="text1"/>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094" w:type="dxa"/>
            <w:vMerge w:val="restart"/>
            <w:shd w:val="clear" w:color="auto" w:fill="C7DAF1" w:themeFill="text2" w:themeFillTint="32"/>
          </w:tcPr>
          <w:p>
            <w:pPr>
              <w:shd w:val="clear" w:color="auto" w:fill="C7DAF1" w:themeFill="text2" w:themeFillTint="32"/>
            </w:pPr>
            <w:r>
              <w:rPr>
                <w:rFonts w:hint="eastAsia"/>
              </w:rPr>
              <w:t>支持</w:t>
            </w:r>
          </w:p>
        </w:tc>
        <w:tc>
          <w:tcPr>
            <w:tcW w:w="9424"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094" w:type="dxa"/>
            <w:vMerge w:val="continue"/>
            <w:shd w:val="clear" w:color="auto" w:fill="C7DAF1" w:themeFill="text2" w:themeFillTint="32"/>
          </w:tcPr>
          <w:p>
            <w:pPr>
              <w:shd w:val="clear" w:color="auto" w:fill="C7DAF1" w:themeFill="text2" w:themeFillTint="32"/>
            </w:pPr>
          </w:p>
        </w:tc>
        <w:tc>
          <w:tcPr>
            <w:tcW w:w="9424" w:type="dxa"/>
            <w:shd w:val="clear" w:color="auto" w:fill="C7DAF1" w:themeFill="text2" w:themeFillTint="32"/>
          </w:tcPr>
          <w:p>
            <w:pPr>
              <w:shd w:val="clear" w:color="auto" w:fill="C7DAF1" w:themeFill="text2" w:themeFillTint="32"/>
              <w:rPr>
                <w:color w:val="000000" w:themeColor="text1"/>
              </w:rPr>
            </w:pPr>
            <w:r>
              <w:rPr>
                <w:color w:val="000000" w:themeColor="text1"/>
              </w:rPr>
              <w:t>组织应确定并配备所需的</w:t>
            </w:r>
            <w:r>
              <w:rPr>
                <w:rFonts w:hint="eastAsia"/>
                <w:color w:val="000000" w:themeColor="text1"/>
              </w:rPr>
              <w:t>管理人员、技术</w:t>
            </w:r>
            <w:r>
              <w:rPr>
                <w:color w:val="000000" w:themeColor="text1"/>
              </w:rPr>
              <w:t>人员</w:t>
            </w:r>
            <w:r>
              <w:rPr>
                <w:rFonts w:hint="eastAsia"/>
                <w:color w:val="000000" w:themeColor="text1"/>
              </w:rPr>
              <w:t>和生产操作/服务提供人员：</w:t>
            </w:r>
          </w:p>
          <w:p>
            <w:pPr>
              <w:shd w:val="clear" w:color="auto" w:fill="C7DAF1" w:themeFill="text2" w:themeFillTint="32"/>
              <w:rPr>
                <w:color w:val="000000" w:themeColor="text1"/>
              </w:rPr>
            </w:pPr>
            <w:r>
              <w:rPr>
                <w:rFonts w:hint="eastAsia"/>
              </w:rPr>
              <w:t>■</w:t>
            </w: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可满足质量管理体系运行；</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可基本满足质量管理体系运行，但是还有不足需要补充：</w:t>
            </w:r>
            <w:r>
              <w:rPr>
                <w:rFonts w:hint="eastAsia"/>
                <w:color w:val="000000" w:themeColor="text1"/>
                <w:u w:val="single"/>
              </w:rPr>
              <w:t xml:space="preserve">      </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539" w:hRule="atLeast"/>
        </w:trPr>
        <w:tc>
          <w:tcPr>
            <w:tcW w:w="1094" w:type="dxa"/>
            <w:vMerge w:val="continue"/>
            <w:shd w:val="clear" w:color="auto" w:fill="C7DAF1" w:themeFill="text2" w:themeFillTint="32"/>
          </w:tcPr>
          <w:p>
            <w:pPr>
              <w:shd w:val="clear" w:color="auto" w:fill="C7DAF1" w:themeFill="text2" w:themeFillTint="32"/>
            </w:pPr>
          </w:p>
        </w:tc>
        <w:tc>
          <w:tcPr>
            <w:tcW w:w="9424" w:type="dxa"/>
            <w:shd w:val="clear" w:color="auto" w:fill="C7DAF1" w:themeFill="text2" w:themeFillTint="32"/>
          </w:tcPr>
          <w:p>
            <w:pPr>
              <w:shd w:val="clear" w:color="auto" w:fill="C7DAF1" w:themeFill="text2" w:themeFillTint="32"/>
              <w:rPr>
                <w:color w:val="000000" w:themeColor="text1"/>
              </w:rPr>
            </w:pPr>
            <w:r>
              <w:rPr>
                <w:rFonts w:hint="eastAsia"/>
                <w:color w:val="000000" w:themeColor="text1"/>
              </w:rPr>
              <w:t>组织应确定、提供并维护所需的基础设施情况：</w:t>
            </w:r>
          </w:p>
          <w:p>
            <w:pPr>
              <w:spacing w:line="360" w:lineRule="auto"/>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厂房面积</w:t>
            </w:r>
            <w:r>
              <w:rPr>
                <w:rFonts w:hint="eastAsia" w:ascii="宋体" w:hAnsi="宋体"/>
                <w:color w:val="000000" w:themeColor="text1"/>
                <w:szCs w:val="21"/>
                <w:lang w:val="en-US" w:eastAsia="zh-CN"/>
                <w14:textFill>
                  <w14:solidFill>
                    <w14:schemeClr w14:val="tx1"/>
                  </w14:solidFill>
                </w14:textFill>
              </w:rPr>
              <w:t>37</w:t>
            </w:r>
            <w:r>
              <w:rPr>
                <w:rFonts w:hint="eastAsia" w:ascii="宋体" w:hAnsi="宋体"/>
                <w:color w:val="000000" w:themeColor="text1"/>
                <w:szCs w:val="21"/>
                <w14:textFill>
                  <w14:solidFill>
                    <w14:schemeClr w14:val="tx1"/>
                  </w14:solidFill>
                </w14:textFill>
              </w:rPr>
              <w:t>00平方左右，</w:t>
            </w:r>
            <w:r>
              <w:rPr>
                <w:rFonts w:hint="eastAsia" w:ascii="宋体" w:hAnsi="宋体"/>
                <w:color w:val="000000" w:themeColor="text1"/>
                <w:szCs w:val="21"/>
                <w:lang w:eastAsia="zh-CN"/>
                <w14:textFill>
                  <w14:solidFill>
                    <w14:schemeClr w14:val="tx1"/>
                  </w14:solidFill>
                </w14:textFill>
              </w:rPr>
              <w:t>有</w:t>
            </w:r>
            <w:r>
              <w:rPr>
                <w:rFonts w:hint="eastAsia" w:ascii="宋体" w:hAnsi="宋体"/>
                <w:color w:val="000000" w:themeColor="text1"/>
                <w:szCs w:val="21"/>
                <w14:textFill>
                  <w14:solidFill>
                    <w14:schemeClr w14:val="tx1"/>
                  </w14:solidFill>
                </w14:textFill>
              </w:rPr>
              <w:t>车间、库房，办公场所面积</w:t>
            </w:r>
            <w:r>
              <w:rPr>
                <w:rFonts w:hint="eastAsia" w:ascii="宋体" w:hAnsi="宋体"/>
                <w:color w:val="000000" w:themeColor="text1"/>
                <w:szCs w:val="21"/>
                <w:lang w:val="en-US" w:eastAsia="zh-CN"/>
                <w14:textFill>
                  <w14:solidFill>
                    <w14:schemeClr w14:val="tx1"/>
                  </w14:solidFill>
                </w14:textFill>
              </w:rPr>
              <w:t>200</w:t>
            </w:r>
            <w:r>
              <w:rPr>
                <w:rFonts w:hint="eastAsia" w:ascii="宋体" w:hAnsi="宋体"/>
                <w:color w:val="000000" w:themeColor="text1"/>
                <w:szCs w:val="21"/>
                <w14:textFill>
                  <w14:solidFill>
                    <w14:schemeClr w14:val="tx1"/>
                  </w14:solidFill>
                </w14:textFill>
              </w:rPr>
              <w:t>平方</w:t>
            </w:r>
            <w:r>
              <w:rPr>
                <w:rFonts w:hint="eastAsia" w:ascii="宋体" w:hAnsi="宋体"/>
                <w:color w:val="000000" w:themeColor="text1"/>
                <w:szCs w:val="21"/>
                <w:lang w:eastAsia="zh-CN"/>
                <w14:textFill>
                  <w14:solidFill>
                    <w14:schemeClr w14:val="tx1"/>
                  </w14:solidFill>
                </w14:textFill>
              </w:rPr>
              <w:t>米左右</w:t>
            </w:r>
          </w:p>
          <w:p>
            <w:pPr>
              <w:spacing w:line="360" w:lineRule="auto"/>
              <w:rPr>
                <w:rFonts w:hint="eastAsia" w:ascii="宋体" w:hAnsi="宋体"/>
                <w:color w:val="000000" w:themeColor="text1"/>
                <w:szCs w:val="21"/>
              </w:rPr>
            </w:pPr>
            <w:r>
              <w:rPr>
                <w:rFonts w:hint="eastAsia" w:ascii="宋体" w:hAnsi="宋体"/>
                <w:color w:val="000000" w:themeColor="text1"/>
                <w:szCs w:val="21"/>
              </w:rPr>
              <w:t>主要生产设备有：数控车床、外圆磨床、平面磨床、内圆磨、龙门刨床、铣床、摇臂钻、剪板机</w:t>
            </w:r>
            <w:r>
              <w:rPr>
                <w:rFonts w:hint="eastAsia" w:ascii="宋体" w:hAnsi="宋体"/>
                <w:color w:val="000000" w:themeColor="text1"/>
                <w:szCs w:val="21"/>
                <w:lang w:eastAsia="zh-CN"/>
              </w:rPr>
              <w:t>、焊机、手动工具</w:t>
            </w:r>
            <w:r>
              <w:rPr>
                <w:rFonts w:hint="eastAsia" w:ascii="宋体" w:hAnsi="宋体"/>
                <w:color w:val="000000" w:themeColor="text1"/>
                <w:szCs w:val="21"/>
              </w:rPr>
              <w:t>等。</w:t>
            </w:r>
          </w:p>
          <w:p>
            <w:pPr>
              <w:spacing w:line="360" w:lineRule="auto"/>
              <w:rPr>
                <w:rFonts w:hint="eastAsia" w:ascii="宋体" w:hAnsi="宋体"/>
                <w:color w:val="000000" w:themeColor="text1"/>
                <w:szCs w:val="21"/>
              </w:rPr>
            </w:pPr>
            <w:r>
              <w:rPr>
                <w:rFonts w:hint="eastAsia" w:ascii="宋体" w:hAnsi="宋体"/>
                <w:color w:val="000000" w:themeColor="text1"/>
                <w:szCs w:val="21"/>
              </w:rPr>
              <w:t>特种设备：</w:t>
            </w:r>
            <w:r>
              <w:rPr>
                <w:rFonts w:hint="eastAsia" w:ascii="宋体" w:hAnsi="宋体"/>
                <w:color w:val="000000" w:themeColor="text1"/>
                <w:szCs w:val="21"/>
                <w:lang w:eastAsia="zh-CN"/>
              </w:rPr>
              <w:t>行车</w:t>
            </w:r>
            <w:r>
              <w:rPr>
                <w:rFonts w:hint="eastAsia" w:ascii="宋体" w:hAnsi="宋体"/>
                <w:color w:val="000000" w:themeColor="text1"/>
                <w:szCs w:val="21"/>
                <w:lang w:val="en-US" w:eastAsia="zh-CN"/>
              </w:rPr>
              <w:t>4台、叉车一辆</w:t>
            </w:r>
          </w:p>
          <w:p>
            <w:pPr>
              <w:numPr>
                <w:ilvl w:val="0"/>
                <w:numId w:val="2"/>
              </w:numPr>
              <w:spacing w:line="360" w:lineRule="auto"/>
              <w:ind w:left="360" w:hanging="360"/>
              <w:rPr>
                <w:color w:val="000000" w:themeColor="text1"/>
              </w:rPr>
            </w:pPr>
            <w:r>
              <w:rPr>
                <w:rFonts w:hint="eastAsia"/>
              </w:rPr>
              <w:t>特种设备管理：</w:t>
            </w:r>
            <w:r>
              <w:rPr>
                <w:rFonts w:hint="eastAsia"/>
                <w:lang w:eastAsia="zh-CN"/>
              </w:rPr>
              <w:t>☑</w:t>
            </w:r>
            <w:r>
              <w:rPr>
                <w:rFonts w:hint="eastAsia"/>
                <w:color w:val="000000" w:themeColor="text1"/>
              </w:rPr>
              <w:t>进行了定期检验  □未进行定期检验的有：</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基础设施可满足质量管理体系运行；</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基础设施可基本满足质量管理体系运行，但是还有不足需要补充：</w:t>
            </w:r>
            <w:r>
              <w:rPr>
                <w:rFonts w:hint="eastAsia"/>
                <w:color w:val="000000" w:themeColor="text1"/>
                <w:u w:val="single"/>
              </w:rPr>
              <w:t xml:space="preserve">           </w:t>
            </w:r>
          </w:p>
          <w:p>
            <w:pPr>
              <w:shd w:val="clear" w:color="auto" w:fill="C7DAF1" w:themeFill="text2" w:themeFillTint="32"/>
              <w:rPr>
                <w:color w:val="000000" w:themeColor="text1"/>
                <w:u w:val="single"/>
              </w:rPr>
            </w:pPr>
            <w:r>
              <w:rPr>
                <w:rFonts w:hint="eastAsia"/>
                <w:color w:val="000000" w:themeColor="text1"/>
              </w:rPr>
              <w:t>□组织</w:t>
            </w:r>
            <w:r>
              <w:rPr>
                <w:color w:val="000000" w:themeColor="text1"/>
              </w:rPr>
              <w:t>现有</w:t>
            </w:r>
            <w:r>
              <w:rPr>
                <w:rFonts w:hint="eastAsia"/>
                <w:color w:val="000000" w:themeColor="text1"/>
              </w:rPr>
              <w:t>基础设施完全不能满足质量管理体系运行，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094" w:type="dxa"/>
            <w:vMerge w:val="continue"/>
            <w:shd w:val="clear" w:color="auto" w:fill="C7DAF1" w:themeFill="text2" w:themeFillTint="32"/>
          </w:tcPr>
          <w:p>
            <w:pPr>
              <w:shd w:val="clear" w:color="auto" w:fill="C7DAF1" w:themeFill="text2" w:themeFillTint="32"/>
            </w:pPr>
          </w:p>
        </w:tc>
        <w:tc>
          <w:tcPr>
            <w:tcW w:w="9424" w:type="dxa"/>
            <w:shd w:val="clear" w:color="auto" w:fill="C7DAF1" w:themeFill="text2" w:themeFillTint="32"/>
          </w:tcPr>
          <w:p>
            <w:pPr>
              <w:shd w:val="clear" w:color="auto" w:fill="C7DAF1" w:themeFill="text2" w:themeFillTint="32"/>
              <w:rPr>
                <w:color w:val="000000" w:themeColor="text1"/>
              </w:rPr>
            </w:pPr>
            <w:r>
              <w:rPr>
                <w:color w:val="000000" w:themeColor="text1"/>
              </w:rPr>
              <w:t xml:space="preserve">组织应确定、提供并维护所需的人为因素与物理因素环境，以运行过程并获得合格产品和服务。 </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运行环境可满足质量管理体系运行；</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运行环境可基本满足质量管理体系运行，说明：</w:t>
            </w:r>
            <w:r>
              <w:rPr>
                <w:rFonts w:hint="eastAsia"/>
                <w:color w:val="000000" w:themeColor="text1"/>
                <w:u w:val="single"/>
              </w:rPr>
              <w:t xml:space="preserve">                         </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运行环境完全不能满足质量管理体系运行，说明：</w:t>
            </w:r>
            <w:r>
              <w:rPr>
                <w:rFonts w:hint="eastAsia"/>
                <w:color w:val="000000" w:themeColor="text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094" w:type="dxa"/>
            <w:vMerge w:val="continue"/>
            <w:shd w:val="clear" w:color="auto" w:fill="C7DAF1" w:themeFill="text2" w:themeFillTint="32"/>
          </w:tcPr>
          <w:p>
            <w:pPr>
              <w:shd w:val="clear" w:color="auto" w:fill="C7DAF1" w:themeFill="text2" w:themeFillTint="32"/>
            </w:pPr>
          </w:p>
        </w:tc>
        <w:tc>
          <w:tcPr>
            <w:tcW w:w="9424" w:type="dxa"/>
            <w:shd w:val="clear" w:color="auto" w:fill="C7DAF1" w:themeFill="text2" w:themeFillTint="32"/>
          </w:tcPr>
          <w:p>
            <w:pPr>
              <w:shd w:val="clear" w:color="auto" w:fill="C7DAF1" w:themeFill="text2" w:themeFillTint="32"/>
              <w:rPr>
                <w:rFonts w:ascii="Times New Roman" w:hAnsi="Times New Roman" w:eastAsia="宋体" w:cs="Times New Roman"/>
              </w:rPr>
            </w:pPr>
            <w:r>
              <w:rPr>
                <w:rFonts w:hint="eastAsia"/>
              </w:rPr>
              <w:t>组织的</w:t>
            </w:r>
            <w:r>
              <w:t>监视和测量资源</w:t>
            </w:r>
            <w:r>
              <w:rPr>
                <w:rFonts w:hint="eastAsia"/>
              </w:rPr>
              <w:t>：</w:t>
            </w:r>
            <w:r>
              <w:rPr>
                <w:rFonts w:hint="eastAsia"/>
                <w:lang w:eastAsia="zh-CN"/>
              </w:rPr>
              <w:t>洛氏硬度计（出厂编号：</w:t>
            </w:r>
            <w:r>
              <w:rPr>
                <w:rFonts w:hint="eastAsia"/>
                <w:lang w:val="en-US" w:eastAsia="zh-CN"/>
              </w:rPr>
              <w:t>3585</w:t>
            </w:r>
            <w:r>
              <w:rPr>
                <w:rFonts w:hint="eastAsia"/>
                <w:lang w:eastAsia="zh-CN"/>
              </w:rPr>
              <w:t>）、外径千分尺（</w:t>
            </w:r>
            <w:r>
              <w:rPr>
                <w:rFonts w:hint="eastAsia"/>
                <w:lang w:val="en-US" w:eastAsia="zh-CN"/>
              </w:rPr>
              <w:t>054476</w:t>
            </w:r>
            <w:r>
              <w:rPr>
                <w:rFonts w:hint="eastAsia"/>
                <w:lang w:eastAsia="zh-CN"/>
              </w:rPr>
              <w:t>）、压力表（</w:t>
            </w:r>
            <w:r>
              <w:rPr>
                <w:rFonts w:hint="eastAsia"/>
                <w:lang w:val="en-US" w:eastAsia="zh-CN"/>
              </w:rPr>
              <w:t>OA1182477</w:t>
            </w:r>
            <w:r>
              <w:rPr>
                <w:rFonts w:hint="eastAsia"/>
                <w:lang w:eastAsia="zh-CN"/>
              </w:rPr>
              <w:t>）、电机综合测试仪（</w:t>
            </w:r>
            <w:r>
              <w:rPr>
                <w:rFonts w:hint="eastAsia"/>
                <w:lang w:val="en-US" w:eastAsia="zh-CN"/>
              </w:rPr>
              <w:t>90677</w:t>
            </w:r>
            <w:r>
              <w:rPr>
                <w:rFonts w:hint="eastAsia"/>
                <w:lang w:eastAsia="zh-CN"/>
              </w:rPr>
              <w:t>）、自动平衡记录仪（</w:t>
            </w:r>
            <w:r>
              <w:rPr>
                <w:rFonts w:hint="eastAsia"/>
                <w:lang w:val="en-US" w:eastAsia="zh-CN"/>
              </w:rPr>
              <w:t>ZB1854841</w:t>
            </w:r>
            <w:r>
              <w:rPr>
                <w:rFonts w:hint="eastAsia"/>
                <w:lang w:eastAsia="zh-CN"/>
              </w:rPr>
              <w:t>）、游标卡尺（</w:t>
            </w:r>
            <w:r>
              <w:rPr>
                <w:rFonts w:hint="eastAsia"/>
                <w:lang w:val="en-US" w:eastAsia="zh-CN"/>
              </w:rPr>
              <w:t>11081180</w:t>
            </w:r>
            <w:r>
              <w:rPr>
                <w:rFonts w:hint="eastAsia"/>
                <w:lang w:eastAsia="zh-CN"/>
              </w:rPr>
              <w:t>）、电子吊秤（</w:t>
            </w:r>
            <w:r>
              <w:rPr>
                <w:rFonts w:hint="eastAsia"/>
                <w:lang w:val="en-US" w:eastAsia="zh-CN"/>
              </w:rPr>
              <w:t>170131</w:t>
            </w:r>
            <w:r>
              <w:rPr>
                <w:rFonts w:hint="eastAsia"/>
                <w:lang w:eastAsia="zh-CN"/>
              </w:rPr>
              <w:t>）、压力传感器（管理编号：</w:t>
            </w:r>
            <w:r>
              <w:rPr>
                <w:rFonts w:hint="eastAsia"/>
                <w:lang w:val="en-US" w:eastAsia="zh-CN"/>
              </w:rPr>
              <w:t>20211105</w:t>
            </w:r>
            <w:r>
              <w:rPr>
                <w:rFonts w:hint="eastAsia"/>
                <w:lang w:eastAsia="zh-CN"/>
              </w:rPr>
              <w:t>）、液压万能试验机（</w:t>
            </w:r>
            <w:r>
              <w:rPr>
                <w:rFonts w:hint="eastAsia"/>
                <w:lang w:val="en-US" w:eastAsia="zh-CN"/>
              </w:rPr>
              <w:t>W4-87062</w:t>
            </w:r>
            <w:r>
              <w:rPr>
                <w:rFonts w:hint="eastAsia"/>
                <w:lang w:eastAsia="zh-CN"/>
              </w:rPr>
              <w:t>）、摆锤式冲击试验机（</w:t>
            </w:r>
            <w:r>
              <w:rPr>
                <w:rFonts w:hint="eastAsia"/>
                <w:lang w:val="en-US" w:eastAsia="zh-CN"/>
              </w:rPr>
              <w:t>246</w:t>
            </w:r>
            <w:r>
              <w:rPr>
                <w:rFonts w:hint="eastAsia"/>
                <w:lang w:eastAsia="zh-CN"/>
              </w:rPr>
              <w:t>）等</w:t>
            </w:r>
            <w:r>
              <w:rPr>
                <w:rFonts w:hint="eastAsia" w:ascii="Times New Roman" w:hAnsi="Times New Roman" w:eastAsia="宋体" w:cs="Times New Roman"/>
              </w:rPr>
              <w:t xml:space="preserve"> </w:t>
            </w:r>
          </w:p>
          <w:p>
            <w:pPr>
              <w:shd w:val="clear" w:color="auto" w:fill="C7DAF1" w:themeFill="text2" w:themeFillTint="32"/>
              <w:rPr>
                <w:rFonts w:ascii="Times New Roman" w:hAnsi="Times New Roman" w:eastAsia="宋体" w:cs="Times New Roman"/>
              </w:rPr>
            </w:pPr>
            <w:r>
              <w:rPr>
                <w:rFonts w:hint="eastAsia" w:ascii="Times New Roman" w:hAnsi="Times New Roman" w:eastAsia="宋体" w:cs="Times New Roman"/>
              </w:rPr>
              <w:t>计量器具的</w:t>
            </w:r>
            <w:r>
              <w:rPr>
                <w:rFonts w:ascii="Times New Roman" w:hAnsi="Times New Roman" w:eastAsia="宋体" w:cs="Times New Roman"/>
              </w:rPr>
              <w:t>测量溯</w:t>
            </w:r>
            <w:r>
              <w:rPr>
                <w:rFonts w:hint="eastAsia" w:ascii="Times New Roman" w:hAnsi="Times New Roman" w:eastAsia="宋体" w:cs="Times New Roman"/>
              </w:rPr>
              <w:t xml:space="preserve">源方法：外校 </w:t>
            </w:r>
          </w:p>
          <w:p>
            <w:pPr>
              <w:shd w:val="clear" w:color="auto" w:fill="C7DAF1" w:themeFill="text2" w:themeFillTint="32"/>
              <w:rPr>
                <w:rFonts w:ascii="Times New Roman" w:hAnsi="Times New Roman" w:eastAsia="宋体" w:cs="Times New Roman"/>
              </w:rPr>
            </w:pPr>
            <w:r>
              <w:rPr>
                <w:rFonts w:hint="eastAsia" w:ascii="Times New Roman" w:hAnsi="Times New Roman" w:eastAsia="宋体" w:cs="Times New Roman"/>
              </w:rPr>
              <w:t xml:space="preserve">国家强检的计量器具有： </w:t>
            </w:r>
          </w:p>
          <w:p>
            <w:pPr>
              <w:shd w:val="clear" w:color="auto" w:fill="C7DAF1" w:themeFill="text2" w:themeFillTint="32"/>
              <w:rPr>
                <w:u w:val="single"/>
              </w:rPr>
            </w:pPr>
            <w:r>
              <w:rPr>
                <w:rFonts w:hint="eastAsia"/>
              </w:rPr>
              <w:t xml:space="preserve">计量器具管理：满足要求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094" w:type="dxa"/>
            <w:vMerge w:val="continue"/>
            <w:shd w:val="clear" w:color="auto" w:fill="C7DAF1" w:themeFill="text2" w:themeFillTint="32"/>
          </w:tcPr>
          <w:p>
            <w:pPr>
              <w:shd w:val="clear" w:color="auto" w:fill="C7DAF1" w:themeFill="text2" w:themeFillTint="32"/>
            </w:pPr>
          </w:p>
        </w:tc>
        <w:tc>
          <w:tcPr>
            <w:tcW w:w="9424"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内部知识:■加工工艺■生产经验  </w:t>
            </w:r>
            <w:r>
              <w:rPr>
                <w:rFonts w:ascii="Wingdings" w:hAnsi="Wingdings"/>
              </w:rPr>
              <w:t></w:t>
            </w:r>
            <w:r>
              <w:rPr>
                <w:rFonts w:hint="eastAsia"/>
              </w:rPr>
              <w:t xml:space="preserve">管理软件  ■市场预测   </w:t>
            </w:r>
            <w:r>
              <w:rPr>
                <w:rFonts w:ascii="Wingdings" w:hAnsi="Wingdings"/>
              </w:rPr>
              <w:sym w:font="Wingdings" w:char="00A8"/>
            </w:r>
            <w:r>
              <w:rPr>
                <w:rFonts w:hint="eastAsia"/>
              </w:rPr>
              <w:t xml:space="preserve">企业标准 </w:t>
            </w:r>
            <w:r>
              <w:rPr>
                <w:rFonts w:ascii="Wingdings" w:hAnsi="Wingdings"/>
              </w:rPr>
              <w:t></w:t>
            </w:r>
            <w:r>
              <w:rPr>
                <w:rFonts w:hint="eastAsia"/>
              </w:rPr>
              <w:t>其他</w:t>
            </w:r>
          </w:p>
          <w:p>
            <w:pPr>
              <w:shd w:val="clear" w:color="auto" w:fill="C7DAF1" w:themeFill="text2" w:themeFillTint="32"/>
            </w:pPr>
            <w:r>
              <w:rPr>
                <w:rFonts w:hint="eastAsia"/>
              </w:rPr>
              <w:t xml:space="preserve">外部知识: ■顾客提供资料■产品标准  </w:t>
            </w:r>
            <w:r>
              <w:rPr>
                <w:rFonts w:ascii="Wingdings" w:hAnsi="Wingdings"/>
              </w:rPr>
              <w:t></w:t>
            </w:r>
            <w:r>
              <w:rPr>
                <w:rFonts w:hint="eastAsia"/>
              </w:rPr>
              <w:t xml:space="preserve">学术交流信息  </w:t>
            </w:r>
            <w:r>
              <w:rPr>
                <w:rFonts w:ascii="Wingdings" w:hAnsi="Wingdings"/>
              </w:rPr>
              <w:t></w:t>
            </w:r>
            <w:r>
              <w:rPr>
                <w:rFonts w:hint="eastAsia"/>
              </w:rPr>
              <w:t xml:space="preserve">专业会议信息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94" w:type="dxa"/>
            <w:vMerge w:val="continue"/>
            <w:shd w:val="clear" w:color="auto" w:fill="C7DAF1" w:themeFill="text2" w:themeFillTint="32"/>
          </w:tcPr>
          <w:p>
            <w:pPr>
              <w:shd w:val="clear" w:color="auto" w:fill="C7DAF1" w:themeFill="text2" w:themeFillTint="32"/>
            </w:pPr>
          </w:p>
        </w:tc>
        <w:tc>
          <w:tcPr>
            <w:tcW w:w="9424"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rPr>
                <w:color w:val="000000" w:themeColor="text1"/>
              </w:rPr>
            </w:pPr>
            <w:r>
              <w:rPr>
                <w:rFonts w:hint="eastAsia"/>
              </w:rPr>
              <w:t>通过 ■招聘 ■换岗 ■</w:t>
            </w:r>
            <w:r>
              <w:rPr>
                <w:rFonts w:hint="eastAsia"/>
                <w:color w:val="000000" w:themeColor="text1"/>
              </w:rPr>
              <w:t xml:space="preserve">培训  ■考核   </w:t>
            </w:r>
            <w:r>
              <w:rPr>
                <w:rFonts w:ascii="Wingdings" w:hAnsi="Wingdings"/>
                <w:color w:val="000000" w:themeColor="text1"/>
              </w:rPr>
              <w:t></w:t>
            </w:r>
            <w:r>
              <w:rPr>
                <w:rFonts w:hint="eastAsia"/>
                <w:color w:val="000000" w:themeColor="text1"/>
              </w:rPr>
              <w:t xml:space="preserve">辅导  </w:t>
            </w:r>
            <w:r>
              <w:rPr>
                <w:rFonts w:ascii="Wingdings" w:hAnsi="Wingdings"/>
                <w:color w:val="000000" w:themeColor="text1"/>
              </w:rPr>
              <w:t></w:t>
            </w:r>
            <w:r>
              <w:rPr>
                <w:rFonts w:hint="eastAsia"/>
                <w:color w:val="000000" w:themeColor="text1"/>
              </w:rPr>
              <w:t>其他</w:t>
            </w:r>
          </w:p>
          <w:p>
            <w:pPr>
              <w:shd w:val="clear" w:color="auto" w:fill="C7DAF1" w:themeFill="text2" w:themeFillTint="32"/>
              <w:rPr>
                <w:color w:val="000000" w:themeColor="text1"/>
              </w:rPr>
            </w:pPr>
            <w:r>
              <w:rPr>
                <w:rFonts w:hint="eastAsia"/>
                <w:color w:val="000000" w:themeColor="text1"/>
              </w:rPr>
              <w:t>对国家规定持证上岗的人员资质进行了有效的管理。</w:t>
            </w:r>
          </w:p>
          <w:p>
            <w:pPr>
              <w:shd w:val="clear" w:color="auto" w:fill="C7DAF1" w:themeFill="text2" w:themeFillTint="32"/>
              <w:rPr>
                <w:rFonts w:hint="eastAsia"/>
                <w:color w:val="000000" w:themeColor="text1"/>
              </w:rPr>
            </w:pPr>
            <w:r>
              <w:rPr>
                <w:rFonts w:hint="eastAsia"/>
                <w:color w:val="000000" w:themeColor="text1"/>
              </w:rPr>
              <w:t>特种作业人员：</w:t>
            </w:r>
            <w:r>
              <w:rPr>
                <w:rFonts w:ascii="Wingdings" w:hAnsi="Wingdings"/>
                <w:color w:val="000000" w:themeColor="text1"/>
              </w:rPr>
              <w:sym w:font="Wingdings" w:char="00A8"/>
            </w:r>
            <w:r>
              <w:rPr>
                <w:rFonts w:hint="eastAsia"/>
                <w:color w:val="000000" w:themeColor="text1"/>
              </w:rPr>
              <w:t xml:space="preserve">电工 </w:t>
            </w:r>
            <w:r>
              <w:rPr>
                <w:rFonts w:hint="eastAsia"/>
                <w:color w:val="000000" w:themeColor="text1"/>
              </w:rPr>
              <w:sym w:font="Wingdings" w:char="00FE"/>
            </w:r>
            <w:r>
              <w:rPr>
                <w:rFonts w:hint="eastAsia"/>
                <w:color w:val="000000" w:themeColor="text1"/>
              </w:rPr>
              <w:t xml:space="preserve">焊工 </w:t>
            </w:r>
            <w:r>
              <w:rPr>
                <w:rFonts w:hint="eastAsia"/>
                <w:color w:val="000000" w:themeColor="text1"/>
              </w:rPr>
              <w:t xml:space="preserve"> </w:t>
            </w:r>
            <w:r>
              <w:rPr>
                <w:rFonts w:hint="eastAsia"/>
                <w:color w:val="000000" w:themeColor="text1"/>
              </w:rPr>
              <w:t>危化品作业  </w:t>
            </w:r>
            <w:r>
              <w:rPr>
                <w:rFonts w:hint="eastAsia"/>
                <w:color w:val="000000" w:themeColor="text1"/>
              </w:rPr>
              <w:t>制冷工   </w:t>
            </w:r>
            <w:r>
              <w:rPr>
                <w:rFonts w:hint="eastAsia"/>
                <w:color w:val="000000" w:themeColor="text1"/>
              </w:rPr>
              <w:t xml:space="preserve">其他  </w:t>
            </w:r>
          </w:p>
          <w:p>
            <w:pPr>
              <w:shd w:val="clear" w:color="auto" w:fill="C7DAF1" w:themeFill="text2" w:themeFillTint="32"/>
            </w:pPr>
            <w:r>
              <w:rPr>
                <w:rFonts w:hint="eastAsia"/>
                <w:color w:val="000000" w:themeColor="text1"/>
              </w:rPr>
              <w:t>特种设备作业人员：</w:t>
            </w:r>
            <w:r>
              <w:rPr>
                <w:rFonts w:hint="eastAsia"/>
                <w:color w:val="000000" w:themeColor="text1"/>
              </w:rPr>
              <w:sym w:font="Wingdings" w:char="00FE"/>
            </w:r>
            <w:r>
              <w:rPr>
                <w:rFonts w:hint="eastAsia"/>
                <w:color w:val="000000" w:themeColor="text1"/>
              </w:rPr>
              <w:t>叉车工行车</w:t>
            </w:r>
            <w:r>
              <w:rPr>
                <w:rFonts w:hint="eastAsia"/>
              </w:rPr>
              <w:t xml:space="preserve">工  </w:t>
            </w:r>
            <w:r>
              <w:rPr>
                <w:rFonts w:ascii="Wingdings" w:hAnsi="Wingdings"/>
              </w:rPr>
              <w:t></w:t>
            </w:r>
            <w:r>
              <w:rPr>
                <w:rFonts w:hint="eastAsia"/>
              </w:rPr>
              <w:t xml:space="preserve">锅炉工  </w:t>
            </w:r>
            <w:r>
              <w:rPr>
                <w:rFonts w:ascii="Wingdings" w:hAnsi="Wingdings"/>
              </w:rPr>
              <w:t></w:t>
            </w:r>
            <w:r>
              <w:rPr>
                <w:rFonts w:hint="eastAsia"/>
              </w:rPr>
              <w:t xml:space="preserve">压力容器   </w:t>
            </w:r>
            <w:r>
              <w:rPr>
                <w:rFonts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94" w:type="dxa"/>
            <w:vMerge w:val="continue"/>
            <w:shd w:val="clear" w:color="auto" w:fill="C7DAF1" w:themeFill="text2" w:themeFillTint="32"/>
          </w:tcPr>
          <w:p>
            <w:pPr>
              <w:shd w:val="clear" w:color="auto" w:fill="C7DAF1" w:themeFill="text2" w:themeFillTint="32"/>
            </w:pPr>
          </w:p>
        </w:tc>
        <w:tc>
          <w:tcPr>
            <w:tcW w:w="9424"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w:t>
            </w:r>
            <w:r>
              <w:rPr>
                <w:rFonts w:ascii="Wingdings" w:hAnsi="Wingdings"/>
              </w:rPr>
              <w:t></w:t>
            </w:r>
            <w:r>
              <w:rPr>
                <w:rFonts w:hint="eastAsia"/>
              </w:rPr>
              <w:t xml:space="preserve">标语  ■培训  </w:t>
            </w:r>
            <w:r>
              <w:rPr>
                <w:rFonts w:ascii="Wingdings" w:hAnsi="Wingdings"/>
              </w:rPr>
              <w:t></w:t>
            </w:r>
            <w:r>
              <w:rPr>
                <w:rFonts w:hint="eastAsia"/>
              </w:rPr>
              <w:t xml:space="preserve">看板   </w:t>
            </w:r>
            <w:r>
              <w:rPr>
                <w:rFonts w:ascii="Wingdings" w:hAnsi="Wingdings"/>
              </w:rPr>
              <w:t></w:t>
            </w:r>
            <w:r>
              <w:rPr>
                <w:rFonts w:hint="eastAsia"/>
              </w:rPr>
              <w:t xml:space="preserve">局域网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94" w:type="dxa"/>
            <w:vMerge w:val="continue"/>
            <w:shd w:val="clear" w:color="auto" w:fill="C7DAF1" w:themeFill="text2" w:themeFillTint="32"/>
          </w:tcPr>
          <w:p>
            <w:pPr>
              <w:shd w:val="clear" w:color="auto" w:fill="C7DAF1" w:themeFill="text2" w:themeFillTint="32"/>
            </w:pPr>
          </w:p>
        </w:tc>
        <w:tc>
          <w:tcPr>
            <w:tcW w:w="9424"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内部沟通方式：■文件发放■会议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p>
            <w:pPr>
              <w:shd w:val="clear" w:color="auto" w:fill="C7DAF1" w:themeFill="text2" w:themeFillTint="32"/>
            </w:pPr>
            <w:r>
              <w:rPr>
                <w:rFonts w:hint="eastAsia"/>
              </w:rPr>
              <w:t xml:space="preserve">外部沟通方式：■宣传材料 </w:t>
            </w:r>
            <w:r>
              <w:rPr>
                <w:rFonts w:ascii="Wingdings" w:hAnsi="Wingdings"/>
              </w:rPr>
              <w:t></w:t>
            </w:r>
            <w:r>
              <w:rPr>
                <w:rFonts w:hint="eastAsia"/>
              </w:rPr>
              <w:t xml:space="preserve">网站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94" w:type="dxa"/>
            <w:vMerge w:val="continue"/>
            <w:shd w:val="clear" w:color="auto" w:fill="C7DAF1" w:themeFill="text2" w:themeFillTint="32"/>
          </w:tcPr>
          <w:p>
            <w:pPr>
              <w:shd w:val="clear" w:color="auto" w:fill="C7DAF1" w:themeFill="text2" w:themeFillTint="32"/>
            </w:pPr>
          </w:p>
        </w:tc>
        <w:tc>
          <w:tcPr>
            <w:tcW w:w="9424"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组织已建立了文件化的质量管理体系。对自编文件的编制、审批、发放、变更和作废进行了控制。■体系文件受控 </w:t>
            </w:r>
            <w:r>
              <w:rPr>
                <w:rFonts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094" w:type="dxa"/>
            <w:vMerge w:val="restart"/>
            <w:shd w:val="clear" w:color="auto" w:fill="C7DAF1" w:themeFill="text2" w:themeFillTint="32"/>
          </w:tcPr>
          <w:p>
            <w:pPr>
              <w:shd w:val="clear" w:color="auto" w:fill="C7DAF1" w:themeFill="text2" w:themeFillTint="32"/>
            </w:pPr>
            <w:r>
              <w:rPr>
                <w:rFonts w:hint="eastAsia"/>
              </w:rPr>
              <w:t>运行</w:t>
            </w:r>
          </w:p>
        </w:tc>
        <w:tc>
          <w:tcPr>
            <w:tcW w:w="9424"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■工艺流程图■作业文件  </w:t>
            </w:r>
            <w:r>
              <w:rPr>
                <w:rFonts w:ascii="Wingdings" w:hAnsi="Wingdings"/>
              </w:rPr>
              <w:t></w:t>
            </w:r>
            <w:r>
              <w:rPr>
                <w:rFonts w:hint="eastAsia"/>
              </w:rPr>
              <w:t>检测计划   ■接收准则</w:t>
            </w:r>
            <w:r>
              <w:rPr>
                <w:rFonts w:hint="eastAsia"/>
                <w:color w:val="0000FF"/>
              </w:rPr>
              <w:t xml:space="preserve">  </w:t>
            </w:r>
            <w:r>
              <w:rPr>
                <w:rFonts w:ascii="Wingdings" w:hAnsi="Wingdings"/>
              </w:rPr>
              <w:t></w:t>
            </w:r>
            <w:r>
              <w:rPr>
                <w:rFonts w:hint="eastAsia"/>
                <w:color w:val="000000" w:themeColor="text1"/>
              </w:rPr>
              <w:t xml:space="preserve">外包控制要求 </w:t>
            </w:r>
            <w:r>
              <w:rPr>
                <w:rFonts w:hint="eastAsia"/>
              </w:rPr>
              <w:t xml:space="preserve">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094" w:type="dxa"/>
            <w:vMerge w:val="continue"/>
            <w:shd w:val="clear" w:color="auto" w:fill="C7DAF1" w:themeFill="text2" w:themeFillTint="32"/>
          </w:tcPr>
          <w:p>
            <w:pPr>
              <w:shd w:val="clear" w:color="auto" w:fill="C7DAF1" w:themeFill="text2" w:themeFillTint="32"/>
            </w:pPr>
          </w:p>
        </w:tc>
        <w:tc>
          <w:tcPr>
            <w:tcW w:w="9424"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w:t>
            </w:r>
            <w:r>
              <w:rPr>
                <w:rFonts w:ascii="Wingdings" w:hAnsi="Wingdings"/>
              </w:rPr>
              <w:sym w:font="Wingdings" w:char="00A8"/>
            </w:r>
            <w:r>
              <w:rPr>
                <w:rFonts w:hint="eastAsia"/>
              </w:rPr>
              <w:t xml:space="preserve">企业标准■顾客要求  </w:t>
            </w:r>
            <w:r>
              <w:rPr>
                <w:rFonts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094" w:type="dxa"/>
            <w:vMerge w:val="continue"/>
            <w:shd w:val="clear" w:color="auto" w:fill="C7DAF1" w:themeFill="text2" w:themeFillTint="32"/>
          </w:tcPr>
          <w:p>
            <w:pPr>
              <w:shd w:val="clear" w:color="auto" w:fill="C7DAF1" w:themeFill="text2" w:themeFillTint="32"/>
            </w:pPr>
          </w:p>
        </w:tc>
        <w:tc>
          <w:tcPr>
            <w:tcW w:w="9424" w:type="dxa"/>
            <w:shd w:val="clear" w:color="auto" w:fill="C7DAF1" w:themeFill="text2" w:themeFillTint="32"/>
          </w:tcPr>
          <w:p>
            <w:pPr>
              <w:shd w:val="clear" w:color="auto" w:fill="C7DAF1" w:themeFill="text2" w:themeFillTint="32"/>
              <w:rPr>
                <w:color w:val="000000" w:themeColor="text1"/>
              </w:rPr>
            </w:pPr>
            <w:r>
              <w:rPr>
                <w:rFonts w:hint="eastAsia"/>
                <w:color w:val="000000" w:themeColor="text1"/>
              </w:rPr>
              <w:t>组织建立、实施和保持了适当的设计和开发过程，以确保后续的产品和服务的提供。</w:t>
            </w:r>
          </w:p>
          <w:p>
            <w:pPr>
              <w:shd w:val="clear" w:color="auto" w:fill="C7DAF1" w:themeFill="text2" w:themeFillTint="32"/>
              <w:rPr>
                <w:color w:val="000000" w:themeColor="text1"/>
              </w:rPr>
            </w:pPr>
            <w:r>
              <w:rPr>
                <w:rFonts w:hint="eastAsia"/>
                <w:color w:val="000000" w:themeColor="text1"/>
              </w:rPr>
              <w:t>审核期间内设计和开发新产品/项目名称：</w:t>
            </w:r>
          </w:p>
          <w:p>
            <w:pPr>
              <w:shd w:val="clear" w:color="auto" w:fill="C7DAF1" w:themeFill="text2" w:themeFillTint="32"/>
              <w:rPr>
                <w:color w:val="000000" w:themeColor="text1"/>
              </w:rPr>
            </w:pPr>
            <w:r>
              <w:rPr>
                <w:rFonts w:hint="eastAsia"/>
                <w:color w:val="000000" w:themeColor="text1"/>
              </w:rPr>
              <w:t>该项目的设计和开发的输入、输出、变更进行了控制。</w:t>
            </w:r>
          </w:p>
          <w:p>
            <w:pPr>
              <w:shd w:val="clear" w:color="auto" w:fill="C7DAF1" w:themeFill="text2" w:themeFillTint="32"/>
            </w:pPr>
            <w:r>
              <w:rPr>
                <w:rFonts w:hint="eastAsia"/>
              </w:rPr>
              <w:t>设计和开发控制：</w:t>
            </w:r>
            <w:r>
              <w:rPr>
                <w:rFonts w:ascii="Wingdings" w:hAnsi="Wingdings"/>
              </w:rPr>
              <w:sym w:font="Wingdings" w:char="00A8"/>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094" w:type="dxa"/>
            <w:vMerge w:val="continue"/>
            <w:shd w:val="clear" w:color="auto" w:fill="C7DAF1" w:themeFill="text2" w:themeFillTint="32"/>
          </w:tcPr>
          <w:p>
            <w:pPr>
              <w:shd w:val="clear" w:color="auto" w:fill="C7DAF1" w:themeFill="text2" w:themeFillTint="32"/>
            </w:pPr>
          </w:p>
        </w:tc>
        <w:tc>
          <w:tcPr>
            <w:tcW w:w="9424"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 xml:space="preserve">外部提供包括：■原材料采购 </w:t>
            </w:r>
            <w:r>
              <w:rPr>
                <w:rFonts w:ascii="Wingdings" w:hAnsi="Wingdings"/>
              </w:rPr>
              <w:t></w:t>
            </w:r>
            <w:r>
              <w:rPr>
                <w:rFonts w:hint="eastAsia"/>
              </w:rPr>
              <w:t xml:space="preserve">委托加工  ■顾客要求 ■运输  </w:t>
            </w:r>
            <w:r>
              <w:rPr>
                <w:rFonts w:ascii="Wingdings" w:hAnsi="Wingdings"/>
              </w:rPr>
              <w:t></w:t>
            </w:r>
            <w:r>
              <w:rPr>
                <w:rFonts w:hint="eastAsia"/>
              </w:rPr>
              <w:t>其他</w:t>
            </w:r>
          </w:p>
          <w:p>
            <w:pPr>
              <w:shd w:val="clear" w:color="auto" w:fill="C7DAF1" w:themeFill="text2" w:themeFillTint="32"/>
              <w:jc w:val="left"/>
            </w:pPr>
            <w:r>
              <w:rPr>
                <w:rFonts w:hint="eastAsia"/>
              </w:rPr>
              <w:t xml:space="preserve">提供给外部供方的信息■符合要求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094" w:type="dxa"/>
            <w:vMerge w:val="continue"/>
            <w:shd w:val="clear" w:color="auto" w:fill="C7DAF1" w:themeFill="text2" w:themeFillTint="32"/>
          </w:tcPr>
          <w:p>
            <w:pPr>
              <w:shd w:val="clear" w:color="auto" w:fill="C7DAF1" w:themeFill="text2" w:themeFillTint="32"/>
            </w:pPr>
          </w:p>
        </w:tc>
        <w:tc>
          <w:tcPr>
            <w:tcW w:w="9424"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2271"/>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6" w:type="dxa"/>
                </w:tcPr>
                <w:p>
                  <w:pPr>
                    <w:shd w:val="clear" w:color="auto" w:fill="C7DAF1" w:themeFill="text2" w:themeFillTint="32"/>
                    <w:jc w:val="left"/>
                  </w:pPr>
                  <w:r>
                    <w:rPr>
                      <w:rFonts w:hint="eastAsia"/>
                    </w:rPr>
                    <w:t>产品/服务名称</w:t>
                  </w:r>
                </w:p>
              </w:tc>
              <w:tc>
                <w:tcPr>
                  <w:tcW w:w="2271"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6" w:type="dxa"/>
                </w:tcPr>
                <w:p>
                  <w:pPr>
                    <w:shd w:val="clear" w:color="auto" w:fill="C7DAF1" w:themeFill="text2" w:themeFillTint="32"/>
                    <w:jc w:val="left"/>
                  </w:pPr>
                  <w:r>
                    <w:rPr>
                      <w:rFonts w:ascii="宋体" w:hAnsi="宋体" w:cs="宋体"/>
                      <w:color w:val="000000"/>
                      <w:kern w:val="0"/>
                      <w:szCs w:val="21"/>
                    </w:rPr>
                    <w:t>金属结构、建筑用金属配件、模具、农业机械的制造</w:t>
                  </w:r>
                </w:p>
              </w:tc>
              <w:tc>
                <w:tcPr>
                  <w:tcW w:w="2271" w:type="dxa"/>
                </w:tcPr>
                <w:p>
                  <w:pPr>
                    <w:snapToGrid w:val="0"/>
                    <w:spacing w:line="280" w:lineRule="exact"/>
                    <w:rPr>
                      <w:rFonts w:hint="eastAsia"/>
                      <w:szCs w:val="21"/>
                      <w:lang w:eastAsia="zh-CN"/>
                    </w:rPr>
                  </w:pPr>
                  <w:r>
                    <w:rPr>
                      <w:rFonts w:hint="eastAsia"/>
                      <w:szCs w:val="21"/>
                    </w:rPr>
                    <w:t>关键过程：</w:t>
                  </w:r>
                  <w:r>
                    <w:rPr>
                      <w:rFonts w:hint="eastAsia"/>
                      <w:szCs w:val="21"/>
                      <w:lang w:eastAsia="zh-CN"/>
                    </w:rPr>
                    <w:t>机加过程、组装过程</w:t>
                  </w:r>
                </w:p>
                <w:p>
                  <w:pPr>
                    <w:snapToGrid w:val="0"/>
                    <w:spacing w:line="280" w:lineRule="exact"/>
                    <w:rPr>
                      <w:rFonts w:hint="eastAsia" w:eastAsia="宋体"/>
                      <w:szCs w:val="21"/>
                      <w:lang w:eastAsia="zh-CN"/>
                    </w:rPr>
                  </w:pPr>
                  <w:r>
                    <w:rPr>
                      <w:rFonts w:hint="eastAsia"/>
                      <w:szCs w:val="21"/>
                    </w:rPr>
                    <w:t>需确认/特殊过程：</w:t>
                  </w:r>
                  <w:r>
                    <w:rPr>
                      <w:rFonts w:hint="eastAsia"/>
                      <w:szCs w:val="21"/>
                      <w:lang w:eastAsia="zh-CN"/>
                    </w:rPr>
                    <w:t>焊接过程</w:t>
                  </w:r>
                </w:p>
                <w:p>
                  <w:pPr>
                    <w:shd w:val="clear" w:color="auto" w:fill="C7DAF1" w:themeFill="text2" w:themeFillTint="32"/>
                    <w:jc w:val="left"/>
                  </w:pPr>
                </w:p>
              </w:tc>
              <w:tc>
                <w:tcPr>
                  <w:tcW w:w="3265" w:type="dxa"/>
                </w:tcPr>
                <w:p>
                  <w:pPr>
                    <w:snapToGrid w:val="0"/>
                    <w:spacing w:line="280" w:lineRule="exact"/>
                    <w:rPr>
                      <w:szCs w:val="21"/>
                    </w:rPr>
                  </w:pPr>
                  <w:r>
                    <w:rPr>
                      <w:rFonts w:hint="eastAsia"/>
                      <w:szCs w:val="21"/>
                    </w:rPr>
                    <w:t>控制方法：拟定作业规范文件和过程监控记录等进行控制。</w:t>
                  </w:r>
                </w:p>
                <w:p>
                  <w:pPr>
                    <w:snapToGrid w:val="0"/>
                    <w:spacing w:line="280" w:lineRule="exact"/>
                  </w:pPr>
                  <w:r>
                    <w:rPr>
                      <w:rFonts w:hint="eastAsia"/>
                      <w:szCs w:val="21"/>
                    </w:rPr>
                    <w:t>主要质量要求：外观、尺寸、</w:t>
                  </w:r>
                  <w:r>
                    <w:rPr>
                      <w:rFonts w:hint="eastAsia"/>
                      <w:szCs w:val="21"/>
                      <w:lang w:eastAsia="zh-CN"/>
                    </w:rPr>
                    <w:t>性能</w:t>
                  </w:r>
                  <w:r>
                    <w:rPr>
                      <w:rFonts w:hint="eastAsia"/>
                      <w:szCs w:val="21"/>
                    </w:rPr>
                    <w:t>等</w:t>
                  </w:r>
                </w:p>
              </w:tc>
            </w:tr>
          </w:tbl>
          <w:p>
            <w:pPr>
              <w:snapToGrid w:val="0"/>
              <w:spacing w:line="280" w:lineRule="exact"/>
              <w:rPr>
                <w:szCs w:val="21"/>
              </w:rPr>
            </w:pPr>
            <w:r>
              <w:rPr>
                <w:rFonts w:hint="eastAsia"/>
              </w:rPr>
              <w:t>需要确认的过程：</w:t>
            </w:r>
            <w:r>
              <w:rPr>
                <w:rFonts w:hint="eastAsia"/>
                <w:szCs w:val="21"/>
                <w:lang w:eastAsia="zh-CN"/>
              </w:rPr>
              <w:t>焊接过程</w:t>
            </w:r>
          </w:p>
          <w:p>
            <w:pPr>
              <w:shd w:val="clear" w:color="auto" w:fill="C7DAF1" w:themeFill="text2" w:themeFillTint="32"/>
              <w:jc w:val="left"/>
            </w:pPr>
            <w:r>
              <w:rPr>
                <w:rFonts w:hint="eastAsia"/>
              </w:rPr>
              <w:t xml:space="preserve">■进行了有效的确认  </w:t>
            </w:r>
            <w:r>
              <w:rPr>
                <w:rFonts w:hint="eastAsia"/>
                <w:color w:val="000000" w:themeColor="text1"/>
              </w:rPr>
              <w:t xml:space="preserve"> </w:t>
            </w:r>
            <w:r>
              <w:rPr>
                <w:rFonts w:ascii="Wingdings" w:hAnsi="Wingdings"/>
                <w:color w:val="000000" w:themeColor="text1"/>
              </w:rPr>
              <w:sym w:font="Wingdings" w:char="00A8"/>
            </w:r>
            <w:r>
              <w:rPr>
                <w:rFonts w:hint="eastAsia"/>
                <w:color w:val="000000" w:themeColor="text1"/>
              </w:rPr>
              <w:t>存在不足，说明</w:t>
            </w:r>
            <w:r>
              <w:rPr>
                <w:rFonts w:hint="eastAsia"/>
                <w:color w:val="000000" w:themeColor="text1"/>
                <w:u w:val="single"/>
              </w:rPr>
              <w:t xml:space="preserve">       </w:t>
            </w:r>
            <w:r>
              <w:rPr>
                <w:rFonts w:hint="eastAsia"/>
                <w:u w:val="single"/>
              </w:rPr>
              <w:t xml:space="preserve">                   </w:t>
            </w:r>
            <w:r>
              <w:rPr>
                <w:rFonts w:hint="eastAsia"/>
              </w:rPr>
              <w:t>。</w:t>
            </w:r>
          </w:p>
          <w:p>
            <w:pPr>
              <w:shd w:val="clear" w:color="auto" w:fill="C7DAF1" w:themeFill="text2" w:themeFillTint="32"/>
              <w:jc w:val="left"/>
            </w:pPr>
            <w:r>
              <w:rPr>
                <w:rFonts w:hint="eastAsia"/>
              </w:rPr>
              <w:t xml:space="preserve">对生产和服务提供过程的控制■符合要求 </w:t>
            </w:r>
            <w:r>
              <w:rPr>
                <w:rFonts w:ascii="Wingdings" w:hAnsi="Wingdings"/>
              </w:rPr>
              <w:sym w:font="Wingdings" w:char="00A8"/>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094" w:type="dxa"/>
            <w:vMerge w:val="continue"/>
            <w:shd w:val="clear" w:color="auto" w:fill="C7DAF1" w:themeFill="text2" w:themeFillTint="32"/>
          </w:tcPr>
          <w:p>
            <w:pPr>
              <w:shd w:val="clear" w:color="auto" w:fill="C7DAF1" w:themeFill="text2" w:themeFillTint="32"/>
            </w:pPr>
          </w:p>
        </w:tc>
        <w:tc>
          <w:tcPr>
            <w:tcW w:w="9424"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 xml:space="preserve">采用的标识方式：■标签■标牌 ■区域 </w:t>
            </w:r>
            <w:r>
              <w:rPr>
                <w:rFonts w:ascii="Wingdings" w:hAnsi="Wingdings"/>
              </w:rPr>
              <w:t></w:t>
            </w:r>
            <w:r>
              <w:rPr>
                <w:rFonts w:hint="eastAsia"/>
              </w:rPr>
              <w:t>容器编号 ■人员编号■其他</w:t>
            </w:r>
          </w:p>
          <w:p>
            <w:pPr>
              <w:shd w:val="clear" w:color="auto" w:fill="C7DAF1" w:themeFill="text2" w:themeFillTint="32"/>
              <w:jc w:val="left"/>
            </w:pPr>
            <w:r>
              <w:rPr>
                <w:rFonts w:hint="eastAsia"/>
              </w:rPr>
              <w:t xml:space="preserve">可追溯性实现：■符合要求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094" w:type="dxa"/>
            <w:vMerge w:val="continue"/>
            <w:shd w:val="clear" w:color="auto" w:fill="C7DAF1" w:themeFill="text2" w:themeFillTint="32"/>
          </w:tcPr>
          <w:p>
            <w:pPr>
              <w:shd w:val="clear" w:color="auto" w:fill="C7DAF1" w:themeFill="text2" w:themeFillTint="32"/>
            </w:pPr>
          </w:p>
        </w:tc>
        <w:tc>
          <w:tcPr>
            <w:tcW w:w="9424"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ascii="Wingdings" w:hAnsi="Wingdings"/>
              </w:rPr>
              <w:t></w:t>
            </w:r>
            <w:r>
              <w:rPr>
                <w:rFonts w:hint="eastAsia"/>
              </w:rPr>
              <w:t xml:space="preserve">原材料 </w:t>
            </w:r>
            <w:r>
              <w:rPr>
                <w:rFonts w:ascii="Wingdings" w:hAnsi="Wingdings"/>
              </w:rPr>
              <w:t></w:t>
            </w:r>
            <w:r>
              <w:rPr>
                <w:rFonts w:hint="eastAsia"/>
              </w:rPr>
              <w:t xml:space="preserve">设备 </w:t>
            </w:r>
            <w:r>
              <w:rPr>
                <w:rFonts w:ascii="Wingdings" w:hAnsi="Wingdings"/>
              </w:rPr>
              <w:t></w:t>
            </w:r>
            <w:r>
              <w:rPr>
                <w:rFonts w:hint="eastAsia"/>
              </w:rPr>
              <w:t xml:space="preserve">检测设备■图纸 </w:t>
            </w:r>
            <w:r>
              <w:rPr>
                <w:rFonts w:ascii="Wingdings" w:hAnsi="Wingdings"/>
              </w:rPr>
              <w:t></w:t>
            </w:r>
            <w:r>
              <w:rPr>
                <w:rFonts w:hint="eastAsia"/>
              </w:rPr>
              <w:t>配方■个人信息■其他</w:t>
            </w:r>
          </w:p>
          <w:p>
            <w:pPr>
              <w:shd w:val="clear" w:color="auto" w:fill="C7DAF1" w:themeFill="text2" w:themeFillTint="32"/>
              <w:jc w:val="left"/>
            </w:pPr>
            <w:r>
              <w:rPr>
                <w:rFonts w:hint="eastAsia"/>
              </w:rPr>
              <w:t xml:space="preserve">顾客或外部供方财产控制：■符合要求 </w:t>
            </w:r>
            <w:r>
              <w:rPr>
                <w:rFonts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094" w:type="dxa"/>
            <w:vMerge w:val="continue"/>
            <w:shd w:val="clear" w:color="auto" w:fill="C7DAF1" w:themeFill="text2" w:themeFillTint="32"/>
          </w:tcPr>
          <w:p>
            <w:pPr>
              <w:shd w:val="clear" w:color="auto" w:fill="C7DAF1" w:themeFill="text2" w:themeFillTint="32"/>
            </w:pPr>
          </w:p>
        </w:tc>
        <w:tc>
          <w:tcPr>
            <w:tcW w:w="9424"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 xml:space="preserve">产品防护：■符合要求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094" w:type="dxa"/>
            <w:vMerge w:val="continue"/>
            <w:shd w:val="clear" w:color="auto" w:fill="C7DAF1" w:themeFill="text2" w:themeFillTint="32"/>
          </w:tcPr>
          <w:p>
            <w:pPr>
              <w:shd w:val="clear" w:color="auto" w:fill="C7DAF1" w:themeFill="text2" w:themeFillTint="32"/>
            </w:pPr>
          </w:p>
        </w:tc>
        <w:tc>
          <w:tcPr>
            <w:tcW w:w="9424"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 xml:space="preserve">目前交付后活动：■三包 </w:t>
            </w:r>
            <w:r>
              <w:rPr>
                <w:rFonts w:ascii="Wingdings" w:hAnsi="Wingdings"/>
              </w:rPr>
              <w:t></w:t>
            </w:r>
            <w:r>
              <w:rPr>
                <w:rFonts w:hint="eastAsia"/>
              </w:rPr>
              <w:t xml:space="preserve">维修■赔偿 </w:t>
            </w:r>
            <w:r>
              <w:rPr>
                <w:rFonts w:ascii="Wingdings" w:hAnsi="Wingdings"/>
              </w:rPr>
              <w:t></w:t>
            </w:r>
            <w:r>
              <w:rPr>
                <w:rFonts w:hint="eastAsia"/>
              </w:rPr>
              <w:t xml:space="preserve">道歉 </w:t>
            </w:r>
            <w:r>
              <w:rPr>
                <w:rFonts w:ascii="Wingdings" w:hAnsi="Wingdings"/>
              </w:rPr>
              <w:sym w:font="Wingdings" w:char="00A8"/>
            </w:r>
            <w:r>
              <w:rPr>
                <w:rFonts w:hint="eastAsia"/>
              </w:rPr>
              <w:t xml:space="preserve">最终处置 </w:t>
            </w:r>
            <w:r>
              <w:rPr>
                <w:rFonts w:ascii="Wingdings" w:hAnsi="Wingdings"/>
              </w:rPr>
              <w:t></w:t>
            </w:r>
            <w:r>
              <w:rPr>
                <w:rFonts w:hint="eastAsia"/>
              </w:rPr>
              <w:t>其他</w:t>
            </w:r>
          </w:p>
          <w:p>
            <w:pPr>
              <w:shd w:val="clear" w:color="auto" w:fill="C7DAF1" w:themeFill="text2" w:themeFillTint="32"/>
            </w:pPr>
            <w:r>
              <w:rPr>
                <w:rFonts w:hint="eastAsia"/>
              </w:rPr>
              <w:t xml:space="preserve">交付后活动：■符合要求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094" w:type="dxa"/>
            <w:vMerge w:val="continue"/>
            <w:shd w:val="clear" w:color="auto" w:fill="C7DAF1" w:themeFill="text2" w:themeFillTint="32"/>
          </w:tcPr>
          <w:p>
            <w:pPr>
              <w:shd w:val="clear" w:color="auto" w:fill="C7DAF1" w:themeFill="text2" w:themeFillTint="32"/>
            </w:pPr>
          </w:p>
        </w:tc>
        <w:tc>
          <w:tcPr>
            <w:tcW w:w="9424"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ascii="Wingdings" w:hAnsi="Wingdings"/>
              </w:rPr>
              <w:t></w:t>
            </w:r>
            <w:r>
              <w:rPr>
                <w:rFonts w:hint="eastAsia"/>
              </w:rPr>
              <w:t xml:space="preserve">重要原材料 </w:t>
            </w:r>
            <w:r>
              <w:rPr>
                <w:rFonts w:ascii="Wingdings" w:hAnsi="Wingdings"/>
              </w:rPr>
              <w:t></w:t>
            </w:r>
            <w:r>
              <w:rPr>
                <w:rFonts w:hint="eastAsia"/>
              </w:rPr>
              <w:t xml:space="preserve">设备 </w:t>
            </w:r>
            <w:r>
              <w:rPr>
                <w:rFonts w:ascii="Wingdings" w:hAnsi="Wingdings"/>
              </w:rPr>
              <w:t></w:t>
            </w:r>
            <w:r>
              <w:rPr>
                <w:rFonts w:hint="eastAsia"/>
              </w:rPr>
              <w:t xml:space="preserve">检测设备 </w:t>
            </w:r>
            <w:r>
              <w:rPr>
                <w:rFonts w:ascii="Wingdings" w:hAnsi="Wingdings"/>
              </w:rPr>
              <w:t></w:t>
            </w:r>
            <w:r>
              <w:rPr>
                <w:rFonts w:hint="eastAsia"/>
              </w:rPr>
              <w:t xml:space="preserve">图纸 </w:t>
            </w:r>
            <w:r>
              <w:rPr>
                <w:rFonts w:ascii="Wingdings" w:hAnsi="Wingdings"/>
              </w:rPr>
              <w:t></w:t>
            </w:r>
            <w:r>
              <w:rPr>
                <w:rFonts w:hint="eastAsia"/>
              </w:rPr>
              <w:t xml:space="preserve">工艺 </w:t>
            </w:r>
            <w:r>
              <w:rPr>
                <w:rFonts w:ascii="Wingdings" w:hAnsi="Wingdings"/>
              </w:rPr>
              <w:t></w:t>
            </w:r>
            <w:r>
              <w:rPr>
                <w:rFonts w:hint="eastAsia"/>
              </w:rPr>
              <w:t xml:space="preserve">加工场所 </w:t>
            </w:r>
            <w:r>
              <w:rPr>
                <w:rFonts w:ascii="Wingdings" w:hAnsi="Wingdings"/>
              </w:rPr>
              <w:t></w:t>
            </w:r>
            <w:r>
              <w:rPr>
                <w:rFonts w:hint="eastAsia"/>
              </w:rPr>
              <w:t>其他</w:t>
            </w:r>
          </w:p>
          <w:p>
            <w:pPr>
              <w:shd w:val="clear" w:color="auto" w:fill="C7DAF1" w:themeFill="text2" w:themeFillTint="32"/>
            </w:pPr>
            <w:r>
              <w:rPr>
                <w:rFonts w:hint="eastAsia"/>
              </w:rPr>
              <w:t>变更控制：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094" w:type="dxa"/>
            <w:vMerge w:val="continue"/>
            <w:shd w:val="clear" w:color="auto" w:fill="C7DAF1" w:themeFill="text2" w:themeFillTint="32"/>
          </w:tcPr>
          <w:p>
            <w:pPr>
              <w:shd w:val="clear" w:color="auto" w:fill="C7DAF1" w:themeFill="text2" w:themeFillTint="32"/>
            </w:pPr>
          </w:p>
        </w:tc>
        <w:tc>
          <w:tcPr>
            <w:tcW w:w="9424"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 xml:space="preserve">实施了■进货检验 </w:t>
            </w:r>
            <w:r>
              <w:rPr>
                <w:rFonts w:ascii="Wingdings" w:hAnsi="Wingdings"/>
              </w:rPr>
              <w:t></w:t>
            </w:r>
            <w:r>
              <w:rPr>
                <w:rFonts w:hint="eastAsia"/>
              </w:rPr>
              <w:t xml:space="preserve">首件检验 ■过程检验 ■最终检验 </w:t>
            </w:r>
            <w:r>
              <w:rPr>
                <w:rFonts w:ascii="Wingdings" w:hAnsi="Wingdings"/>
              </w:rPr>
              <w:sym w:font="Wingdings" w:char="00A8"/>
            </w:r>
            <w:r>
              <w:rPr>
                <w:rFonts w:hint="eastAsia"/>
              </w:rPr>
              <w:t xml:space="preserve">型式检验 </w:t>
            </w:r>
            <w:r>
              <w:rPr>
                <w:rFonts w:ascii="Wingdings" w:hAnsi="Wingdings"/>
              </w:rPr>
              <w:t></w:t>
            </w:r>
            <w:r>
              <w:rPr>
                <w:rFonts w:hint="eastAsia"/>
              </w:rPr>
              <w:t>其他</w:t>
            </w:r>
          </w:p>
          <w:p>
            <w:pPr>
              <w:rPr>
                <w:rFonts w:hint="eastAsia" w:eastAsia="宋体"/>
                <w:color w:val="000000" w:themeColor="text1"/>
                <w:lang w:eastAsia="zh-CN"/>
              </w:rPr>
            </w:pPr>
            <w:r>
              <w:rPr>
                <w:rFonts w:hint="eastAsia"/>
              </w:rPr>
              <w:t>《型式检验报告》，如：</w:t>
            </w:r>
          </w:p>
          <w:p>
            <w:pPr>
              <w:rPr>
                <w:rFonts w:hint="eastAsia"/>
                <w:color w:val="000000" w:themeColor="text1"/>
              </w:rPr>
            </w:pPr>
            <w:r>
              <w:rPr>
                <w:rFonts w:hint="eastAsia"/>
                <w:color w:val="000000" w:themeColor="text1"/>
              </w:rPr>
              <w:t>检测部门名称：</w:t>
            </w:r>
          </w:p>
          <w:p>
            <w:pPr>
              <w:rPr>
                <w:rFonts w:hint="eastAsia" w:ascii="Times New Roman" w:hAnsi="Times New Roman" w:eastAsia="宋体" w:cs="Times New Roman"/>
                <w:color w:val="000000" w:themeColor="text1"/>
              </w:rPr>
            </w:pPr>
            <w:r>
              <w:rPr>
                <w:rFonts w:hint="eastAsia" w:ascii="Times New Roman" w:hAnsi="Times New Roman" w:eastAsia="宋体" w:cs="Times New Roman"/>
                <w:color w:val="000000" w:themeColor="text1"/>
              </w:rPr>
              <w:t>报告编号：</w:t>
            </w:r>
            <w:r>
              <w:rPr>
                <w:rFonts w:hint="eastAsia" w:ascii="Times New Roman" w:hAnsi="Times New Roman" w:eastAsia="宋体" w:cs="Times New Roman"/>
                <w:color w:val="000000" w:themeColor="text1"/>
                <w:lang w:val="en-US" w:eastAsia="zh-CN"/>
              </w:rPr>
              <w:t xml:space="preserve">  </w:t>
            </w:r>
            <w:r>
              <w:rPr>
                <w:rFonts w:hint="eastAsia" w:ascii="Times New Roman" w:hAnsi="Times New Roman" w:eastAsia="宋体" w:cs="Times New Roman"/>
                <w:color w:val="000000" w:themeColor="text1"/>
              </w:rPr>
              <w:t>报告日期：</w:t>
            </w:r>
          </w:p>
          <w:p>
            <w:pPr>
              <w:rPr>
                <w:rFonts w:hint="eastAsia" w:ascii="Times New Roman" w:hAnsi="Times New Roman" w:eastAsia="宋体" w:cs="Times New Roman"/>
                <w:color w:val="000000" w:themeColor="text1"/>
              </w:rPr>
            </w:pPr>
            <w:r>
              <w:rPr>
                <w:rFonts w:hint="eastAsia" w:ascii="Times New Roman" w:hAnsi="Times New Roman" w:eastAsia="宋体" w:cs="Times New Roman"/>
                <w:color w:val="000000" w:themeColor="text1"/>
              </w:rPr>
              <w:t>执行标准：</w:t>
            </w:r>
            <w:r>
              <w:rPr>
                <w:rFonts w:hint="eastAsia" w:ascii="Times New Roman" w:hAnsi="Times New Roman" w:eastAsia="宋体" w:cs="Times New Roman"/>
                <w:color w:val="000000" w:themeColor="text1"/>
                <w:lang w:val="en-US" w:eastAsia="zh-CN"/>
              </w:rPr>
              <w:t xml:space="preserve">   </w:t>
            </w:r>
            <w:r>
              <w:rPr>
                <w:rFonts w:hint="eastAsia" w:ascii="Times New Roman" w:hAnsi="Times New Roman" w:eastAsia="宋体" w:cs="Times New Roman"/>
                <w:color w:val="000000" w:themeColor="text1"/>
              </w:rPr>
              <w:t>结论：</w:t>
            </w:r>
            <w:r>
              <w:rPr>
                <w:rFonts w:hint="eastAsia" w:ascii="Times New Roman" w:hAnsi="Times New Roman" w:eastAsia="宋体" w:cs="Times New Roman"/>
                <w:color w:val="000000" w:themeColor="text1"/>
                <w:lang w:eastAsia="zh-CN"/>
              </w:rPr>
              <w:t>□</w:t>
            </w:r>
            <w:r>
              <w:rPr>
                <w:rFonts w:hint="eastAsia" w:ascii="Times New Roman" w:hAnsi="Times New Roman" w:eastAsia="宋体" w:cs="Times New Roman"/>
                <w:color w:val="000000" w:themeColor="text1"/>
              </w:rPr>
              <w:t>合格 □不合格 □项目齐全 □项目不齐全</w:t>
            </w:r>
          </w:p>
          <w:p>
            <w:pPr>
              <w:shd w:val="clear" w:color="auto" w:fill="C7DAF1" w:themeFill="text2" w:themeFillTint="32"/>
            </w:pPr>
            <w:r>
              <w:rPr>
                <w:rFonts w:hint="eastAsia"/>
              </w:rPr>
              <w:t>产品检验/服务放行：</w:t>
            </w:r>
            <w:r>
              <w:rPr>
                <w:rFonts w:hint="eastAsia" w:ascii="Times New Roman" w:hAnsi="Times New Roman" w:eastAsia="宋体" w:cs="Times New Roman"/>
                <w:color w:val="000000" w:themeColor="text1"/>
                <w:lang w:eastAsia="zh-CN"/>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094" w:type="dxa"/>
            <w:vMerge w:val="continue"/>
            <w:shd w:val="clear" w:color="auto" w:fill="C7DAF1" w:themeFill="text2" w:themeFillTint="32"/>
          </w:tcPr>
          <w:p>
            <w:pPr>
              <w:shd w:val="clear" w:color="auto" w:fill="C7DAF1" w:themeFill="text2" w:themeFillTint="32"/>
            </w:pPr>
          </w:p>
        </w:tc>
        <w:tc>
          <w:tcPr>
            <w:tcW w:w="9424"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94" w:type="dxa"/>
            <w:vMerge w:val="restart"/>
            <w:shd w:val="clear" w:color="auto" w:fill="C7DAF1" w:themeFill="text2" w:themeFillTint="32"/>
          </w:tcPr>
          <w:p>
            <w:pPr>
              <w:shd w:val="clear" w:color="auto" w:fill="C7DAF1" w:themeFill="text2" w:themeFillTint="32"/>
            </w:pPr>
            <w:r>
              <w:rPr>
                <w:rFonts w:hint="eastAsia"/>
              </w:rPr>
              <w:t>绩效评价</w:t>
            </w:r>
          </w:p>
        </w:tc>
        <w:tc>
          <w:tcPr>
            <w:tcW w:w="9424"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 xml:space="preserve">■顾客调查■顾客对交付产品或服务的反馈  </w:t>
            </w:r>
            <w:r>
              <w:rPr>
                <w:rFonts w:ascii="Wingdings" w:hAnsi="Wingdings"/>
              </w:rPr>
              <w:t></w:t>
            </w:r>
            <w:r>
              <w:rPr>
                <w:rFonts w:hint="eastAsia"/>
              </w:rPr>
              <w:t xml:space="preserve">顾客座谈■市场占有率分析 </w:t>
            </w:r>
            <w:r>
              <w:rPr>
                <w:rFonts w:ascii="Wingdings" w:hAnsi="Wingdings"/>
              </w:rPr>
              <w:t></w:t>
            </w:r>
            <w:r>
              <w:rPr>
                <w:rFonts w:hint="eastAsia"/>
              </w:rPr>
              <w:t xml:space="preserve">顾客赞扬 </w:t>
            </w:r>
          </w:p>
          <w:p>
            <w:pPr>
              <w:shd w:val="clear" w:color="auto" w:fill="C7DA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94" w:type="dxa"/>
            <w:vMerge w:val="continue"/>
            <w:shd w:val="clear" w:color="auto" w:fill="C7DAF1" w:themeFill="text2" w:themeFillTint="32"/>
          </w:tcPr>
          <w:p>
            <w:pPr>
              <w:shd w:val="clear" w:color="auto" w:fill="C7DAF1" w:themeFill="text2" w:themeFillTint="32"/>
            </w:pPr>
          </w:p>
        </w:tc>
        <w:tc>
          <w:tcPr>
            <w:tcW w:w="9424" w:type="dxa"/>
            <w:shd w:val="clear" w:color="auto" w:fill="C7DAF1" w:themeFill="text2" w:themeFillTint="32"/>
          </w:tcPr>
          <w:p>
            <w:pPr>
              <w:spacing w:line="360" w:lineRule="auto"/>
              <w:ind w:firstLine="420" w:firstLineChars="200"/>
              <w:rPr>
                <w:color w:val="000000" w:themeColor="text1"/>
              </w:rPr>
            </w:pPr>
            <w:r>
              <w:rPr>
                <w:rFonts w:hint="eastAsia"/>
                <w:color w:val="000000" w:themeColor="text1"/>
              </w:rPr>
              <w:t>组织已</w:t>
            </w:r>
            <w:r>
              <w:rPr>
                <w:rFonts w:hint="eastAsia"/>
                <w:color w:val="000000" w:themeColor="text1"/>
              </w:rPr>
              <w:fldChar w:fldCharType="begin"/>
            </w:r>
            <w:r>
              <w:rPr>
                <w:rFonts w:hint="eastAsia"/>
                <w:color w:val="000000" w:themeColor="text1"/>
              </w:rPr>
              <w:fldChar w:fldCharType="end"/>
            </w:r>
            <w:r>
              <w:rPr>
                <w:rFonts w:hint="eastAsia"/>
                <w:color w:val="000000" w:themeColor="text1"/>
              </w:rPr>
              <w:t>通过年度策划，于</w:t>
            </w:r>
            <w:r>
              <w:rPr>
                <w:rFonts w:hint="eastAsia"/>
                <w:color w:val="000000"/>
                <w:szCs w:val="18"/>
                <w:lang w:val="en-US" w:eastAsia="zh-CN"/>
              </w:rPr>
              <w:t>2021 年 10 月 29日-30 日</w:t>
            </w:r>
            <w:r>
              <w:rPr>
                <w:rFonts w:hint="eastAsia"/>
                <w:color w:val="000000" w:themeColor="text1"/>
              </w:rPr>
              <w:t>实施了质量管理体系内部审核，对质量管理体系的符合性和有效性进行了审核。内审发现的 1 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94" w:type="dxa"/>
            <w:vMerge w:val="continue"/>
            <w:shd w:val="clear" w:color="auto" w:fill="C7DAF1" w:themeFill="text2" w:themeFillTint="32"/>
          </w:tcPr>
          <w:p>
            <w:pPr>
              <w:shd w:val="clear" w:color="auto" w:fill="C7DAF1" w:themeFill="text2" w:themeFillTint="32"/>
            </w:pPr>
          </w:p>
        </w:tc>
        <w:tc>
          <w:tcPr>
            <w:tcW w:w="9424" w:type="dxa"/>
            <w:shd w:val="clear" w:color="auto" w:fill="C7DAF1" w:themeFill="text2" w:themeFillTint="32"/>
          </w:tcPr>
          <w:p>
            <w:pPr>
              <w:shd w:val="clear" w:color="auto" w:fill="C7DAF1" w:themeFill="text2" w:themeFillTint="32"/>
              <w:rPr>
                <w:color w:val="000000" w:themeColor="text1"/>
              </w:rPr>
            </w:pPr>
            <w:r>
              <w:rPr>
                <w:rFonts w:hint="eastAsia"/>
                <w:color w:val="000000" w:themeColor="text1"/>
              </w:rPr>
              <w:t>最高管理者已按策划的时间间隔，在</w:t>
            </w:r>
            <w:r>
              <w:rPr>
                <w:rFonts w:hint="eastAsia"/>
                <w:color w:val="000000"/>
                <w:szCs w:val="18"/>
                <w:lang w:val="en-US" w:eastAsia="zh-CN"/>
              </w:rPr>
              <w:t>2021 年 11 月 28 日</w:t>
            </w:r>
            <w:r>
              <w:rPr>
                <w:rFonts w:hint="eastAsia"/>
                <w:color w:val="000000" w:themeColor="text1"/>
              </w:rPr>
              <w:t>对组织的质量管理体系进行了</w:t>
            </w:r>
            <w:r>
              <w:rPr>
                <w:rFonts w:hint="eastAsia"/>
                <w:color w:val="000000" w:themeColor="text1"/>
                <w:lang w:eastAsia="zh-CN"/>
              </w:rPr>
              <w:t>管理</w:t>
            </w:r>
            <w:r>
              <w:rPr>
                <w:rFonts w:hint="eastAsia"/>
                <w:color w:val="000000" w:themeColor="text1"/>
              </w:rPr>
              <w:t>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94" w:type="dxa"/>
            <w:vMerge w:val="restart"/>
            <w:shd w:val="clear" w:color="auto" w:fill="C7DAF1" w:themeFill="text2" w:themeFillTint="32"/>
          </w:tcPr>
          <w:p>
            <w:pPr>
              <w:shd w:val="clear" w:color="auto" w:fill="C7DAF1" w:themeFill="text2" w:themeFillTint="32"/>
            </w:pPr>
            <w:r>
              <w:rPr>
                <w:rFonts w:hint="eastAsia"/>
              </w:rPr>
              <w:t>改进</w:t>
            </w:r>
          </w:p>
        </w:tc>
        <w:tc>
          <w:tcPr>
            <w:tcW w:w="9424"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shd w:val="clear" w:color="auto" w:fill="C7DAF1" w:themeFill="text2" w:themeFillTint="32"/>
          </w:tcPr>
          <w:p>
            <w:pPr>
              <w:shd w:val="clear" w:color="auto" w:fill="C7DAF1" w:themeFill="text2" w:themeFillTint="32"/>
            </w:pPr>
          </w:p>
        </w:tc>
        <w:tc>
          <w:tcPr>
            <w:tcW w:w="9424"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■自我验证的结果  ■顾客投诉  ■顾客满意调查 </w:t>
            </w:r>
          </w:p>
          <w:p>
            <w:pPr>
              <w:shd w:val="clear" w:color="auto" w:fill="C7DAF1" w:themeFill="text2" w:themeFillTint="32"/>
            </w:pPr>
            <w:r>
              <w:rPr>
                <w:rFonts w:hint="eastAsia"/>
              </w:rPr>
              <w:t xml:space="preserve">■内审不符合项   ■外审不符合项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shd w:val="clear" w:color="auto" w:fill="C7DAF1" w:themeFill="text2" w:themeFillTint="32"/>
          </w:tcPr>
          <w:p>
            <w:pPr>
              <w:shd w:val="clear" w:color="auto" w:fill="C7DAF1" w:themeFill="text2" w:themeFillTint="32"/>
              <w:rPr>
                <w:color w:val="000000" w:themeColor="text1"/>
              </w:rPr>
            </w:pPr>
          </w:p>
        </w:tc>
        <w:tc>
          <w:tcPr>
            <w:tcW w:w="9424" w:type="dxa"/>
            <w:shd w:val="clear" w:color="auto" w:fill="C7DAF1" w:themeFill="text2" w:themeFillTint="32"/>
          </w:tcPr>
          <w:p>
            <w:pPr>
              <w:shd w:val="clear" w:color="auto" w:fill="C7DAF1" w:themeFill="text2" w:themeFillTint="32"/>
              <w:rPr>
                <w:color w:val="000000" w:themeColor="text1"/>
              </w:rPr>
            </w:pPr>
            <w:r>
              <w:rPr>
                <w:rFonts w:hint="eastAsia"/>
                <w:color w:val="000000" w:themeColor="text1"/>
              </w:rPr>
              <w:t xml:space="preserve">组织持续改进了质量管理体系的适宜性、充分性和有效性。 </w:t>
            </w:r>
          </w:p>
          <w:p>
            <w:pPr>
              <w:shd w:val="clear" w:color="auto" w:fill="C7DAF1" w:themeFill="text2" w:themeFillTint="32"/>
              <w:rPr>
                <w:color w:val="000000" w:themeColor="text1"/>
              </w:rPr>
            </w:pPr>
            <w:r>
              <w:rPr>
                <w:rFonts w:hint="eastAsia"/>
                <w:color w:val="000000" w:themeColor="text1"/>
              </w:rPr>
              <w:t>组织考虑分析和评价的结果以及管理评审的输出，确定了存在需求或机遇，这些需求或机遇作为持续改进的一部分加以应对。</w:t>
            </w:r>
          </w:p>
        </w:tc>
      </w:tr>
    </w:tbl>
    <w:p>
      <w:pPr>
        <w:shd w:val="clear" w:color="auto" w:fill="C7DAF1" w:themeFill="text2" w:themeFillTint="32"/>
      </w:pPr>
      <w:bookmarkStart w:id="33" w:name="_GoBack"/>
      <w:bookmarkEnd w:id="33"/>
    </w:p>
    <w:tbl>
      <w:tblPr>
        <w:tblStyle w:val="8"/>
        <w:tblW w:w="103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1"/>
        <w:gridCol w:w="1081"/>
        <w:gridCol w:w="815"/>
        <w:gridCol w:w="657"/>
        <w:gridCol w:w="656"/>
        <w:gridCol w:w="657"/>
        <w:gridCol w:w="657"/>
        <w:gridCol w:w="656"/>
        <w:gridCol w:w="657"/>
        <w:gridCol w:w="657"/>
        <w:gridCol w:w="656"/>
        <w:gridCol w:w="657"/>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标准条款</w:t>
            </w:r>
          </w:p>
        </w:tc>
        <w:tc>
          <w:tcPr>
            <w:tcW w:w="107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4.1</w:t>
            </w:r>
          </w:p>
        </w:tc>
        <w:tc>
          <w:tcPr>
            <w:tcW w:w="806"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4.2</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4.3</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4.4</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5.1</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5.2</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5.3</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6.1</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6.2</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6.3</w:t>
            </w:r>
          </w:p>
        </w:tc>
        <w:tc>
          <w:tcPr>
            <w:tcW w:w="650" w:type="dxa"/>
            <w:shd w:val="clear" w:color="auto" w:fill="BFBFBF"/>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评价*)</w:t>
            </w:r>
          </w:p>
        </w:tc>
        <w:tc>
          <w:tcPr>
            <w:tcW w:w="1070"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806"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650"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649"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650"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650"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649"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650"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650"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649"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650" w:type="dxa"/>
            <w:shd w:val="clear" w:color="auto" w:fill="BFBFBF"/>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不符合数量</w:t>
            </w:r>
          </w:p>
        </w:tc>
        <w:tc>
          <w:tcPr>
            <w:tcW w:w="107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806"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clear" w:color="auto" w:fill="BFBFBF"/>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标准条款</w:t>
            </w:r>
          </w:p>
        </w:tc>
        <w:tc>
          <w:tcPr>
            <w:tcW w:w="107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7.1</w:t>
            </w:r>
          </w:p>
        </w:tc>
        <w:tc>
          <w:tcPr>
            <w:tcW w:w="806"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7.2</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7.3</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7.4</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7.5</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8.1</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8.2</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8.3</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8.4</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8.5</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8.6</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评价*)</w:t>
            </w:r>
          </w:p>
        </w:tc>
        <w:tc>
          <w:tcPr>
            <w:tcW w:w="1070"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806"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650"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649"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650" w:type="dxa"/>
            <w:vAlign w:val="center"/>
          </w:tcPr>
          <w:p>
            <w:pPr>
              <w:shd w:val="clear" w:color="auto" w:fill="C7DAF1" w:themeFill="text2" w:themeFillTint="32"/>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649"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650"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9"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650"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650"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不符合数量</w:t>
            </w:r>
          </w:p>
        </w:tc>
        <w:tc>
          <w:tcPr>
            <w:tcW w:w="1070" w:type="dxa"/>
            <w:vAlign w:val="center"/>
          </w:tcPr>
          <w:p>
            <w:pPr>
              <w:shd w:val="clear" w:color="auto" w:fill="C7DAF1" w:themeFill="text2" w:themeFillTint="32"/>
              <w:rPr>
                <w:color w:val="000000" w:themeColor="text1"/>
                <w14:textFill>
                  <w14:solidFill>
                    <w14:schemeClr w14:val="tx1"/>
                  </w14:solidFill>
                </w14:textFill>
              </w:rPr>
            </w:pPr>
          </w:p>
        </w:tc>
        <w:tc>
          <w:tcPr>
            <w:tcW w:w="806" w:type="dxa"/>
            <w:vAlign w:val="center"/>
          </w:tcPr>
          <w:p>
            <w:pPr>
              <w:shd w:val="clear" w:color="auto" w:fill="C7DAF1" w:themeFill="text2" w:themeFillTint="32"/>
              <w:rPr>
                <w:color w:val="000000" w:themeColor="text1"/>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tcBorders>
              <w:bottom w:val="single" w:color="auto" w:sz="4" w:space="0"/>
            </w:tcBorders>
            <w:vAlign w:val="center"/>
          </w:tcPr>
          <w:p>
            <w:pPr>
              <w:shd w:val="clear" w:color="auto" w:fill="C7DAF1" w:themeFill="text2" w:themeFillTint="32"/>
              <w:rPr>
                <w:rFonts w:hint="eastAsia"/>
                <w:color w:val="000000" w:themeColor="text1"/>
                <w14:textFill>
                  <w14:solidFill>
                    <w14:schemeClr w14:val="tx1"/>
                  </w14:solidFill>
                </w14:textFill>
              </w:rPr>
            </w:pPr>
          </w:p>
        </w:tc>
        <w:tc>
          <w:tcPr>
            <w:tcW w:w="649" w:type="dxa"/>
            <w:tcBorders>
              <w:bottom w:val="single" w:color="auto" w:sz="4" w:space="0"/>
            </w:tcBorders>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标准条款</w:t>
            </w:r>
          </w:p>
        </w:tc>
        <w:tc>
          <w:tcPr>
            <w:tcW w:w="107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9.1</w:t>
            </w:r>
          </w:p>
        </w:tc>
        <w:tc>
          <w:tcPr>
            <w:tcW w:w="806"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9.2</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9.3</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10.1</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10.2</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10.3</w:t>
            </w:r>
          </w:p>
        </w:tc>
        <w:tc>
          <w:tcPr>
            <w:tcW w:w="649"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评价*)</w:t>
            </w:r>
          </w:p>
        </w:tc>
        <w:tc>
          <w:tcPr>
            <w:tcW w:w="1070"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806"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650"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649"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650"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650"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649"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不符合数量</w:t>
            </w:r>
          </w:p>
        </w:tc>
        <w:tc>
          <w:tcPr>
            <w:tcW w:w="1070" w:type="dxa"/>
            <w:vAlign w:val="center"/>
          </w:tcPr>
          <w:p>
            <w:pPr>
              <w:shd w:val="clear" w:color="auto" w:fill="C7DAF1" w:themeFill="text2" w:themeFillTint="32"/>
              <w:rPr>
                <w:color w:val="000000" w:themeColor="text1"/>
                <w14:textFill>
                  <w14:solidFill>
                    <w14:schemeClr w14:val="tx1"/>
                  </w14:solidFill>
                </w14:textFill>
              </w:rPr>
            </w:pPr>
          </w:p>
        </w:tc>
        <w:tc>
          <w:tcPr>
            <w:tcW w:w="806"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59C1D89B"/>
    <w:multiLevelType w:val="singleLevel"/>
    <w:tmpl w:val="59C1D89B"/>
    <w:lvl w:ilvl="0" w:tentative="0">
      <w:start w:val="3"/>
      <w:numFmt w:val="decimal"/>
      <w:suff w:val="nothing"/>
      <w:lvlText w:val="%1、"/>
      <w:lvlJc w:val="left"/>
    </w:lvl>
  </w:abstractNum>
  <w:num w:numId="1">
    <w:abstractNumId w:val="0"/>
  </w:num>
  <w:num w:numId="2">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52C2255"/>
    <w:rsid w:val="1F4647F3"/>
    <w:rsid w:val="23895B94"/>
    <w:rsid w:val="6B6E495A"/>
    <w:rsid w:val="7EFF4B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15</TotalTime>
  <ScaleCrop>false</ScaleCrop>
  <LinksUpToDate>false</LinksUpToDate>
  <CharactersWithSpaces>21168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心</cp:lastModifiedBy>
  <cp:lastPrinted>2019-05-13T03:19:00Z</cp:lastPrinted>
  <dcterms:modified xsi:type="dcterms:W3CDTF">2022-02-22T05:59:17Z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2052-11.1.0.11294</vt:lpwstr>
  </property>
</Properties>
</file>