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审核员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重庆天北科技有限公司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</w:t>
            </w:r>
            <w:bookmarkStart w:id="1" w:name="联系人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马江涛</w:t>
            </w:r>
            <w:bookmarkEnd w:id="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2" w:name="审核组成员不含组长"/>
            <w:r>
              <w:rPr>
                <w:rFonts w:hint="eastAsia"/>
                <w:color w:val="000000"/>
                <w:sz w:val="24"/>
                <w:szCs w:val="24"/>
              </w:rPr>
              <w:t>张心</w:t>
            </w:r>
            <w:bookmarkEnd w:id="2"/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杨珍全，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审核时间：</w:t>
            </w:r>
            <w:bookmarkStart w:id="3" w:name="审核日期"/>
            <w:r>
              <w:rPr>
                <w:color w:val="000000"/>
              </w:rPr>
              <w:t>2022年02月14日 上午至2022年02月14日 上午</w:t>
            </w:r>
            <w:bookmarkEnd w:id="3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ind w:firstLine="420" w:firstLineChars="200"/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营业执照编号：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91500109590524110P；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 xml:space="preserve">  有效期：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2012年02月15日至 永久 ；</w:t>
            </w:r>
          </w:p>
          <w:p>
            <w:pPr>
              <w:spacing w:line="440" w:lineRule="exact"/>
              <w:ind w:firstLine="420" w:firstLineChars="200"/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经营范围的相关描述：一般项目：计算机软件开发、销售及技术服务；机械设备、机电设备研发、销售及技术转让、技术咨询；五金销售，金属结构制造，金属结构销售，金属制品研发，金属制品销售，建筑用金属配件制造，建筑用金属配件销售，模具制造，模具销售，建筑材料销售，教学用模型及教具制造，教学用模型及教具销售，金属切削机床制造，金属切削机床销售，数控机床制造，数控机床销售，金属加工机械制造，金属成形机床制造，金属成形机床销售，机床功能部件及附件制造，机床功能部件及附件销售，工业控制计算机及系统销售，农业机械制造，农业机械销售，机械电气设备销售，通用设备修理，工业互联网数据服务（除依法须经批准的项目外，凭营业执照依法自主开展经营活动）。</w:t>
            </w:r>
          </w:p>
          <w:p>
            <w:pPr>
              <w:spacing w:line="440" w:lineRule="exact"/>
              <w:ind w:firstLine="420" w:firstLineChars="200"/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val="en-US" w:eastAsia="zh-CN"/>
              </w:rPr>
              <w:t>认证申请范围：</w:t>
            </w:r>
            <w:bookmarkStart w:id="4" w:name="审核范围"/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金属结构、建筑用金属配件、模具、农业机械的制造</w:t>
            </w:r>
            <w:bookmarkEnd w:id="4"/>
            <w:r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u w:val="single"/>
                <w:lang w:val="en-US" w:eastAsia="zh-CN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证件有效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证件失效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注册地址：</w:t>
            </w:r>
            <w:bookmarkStart w:id="5" w:name="注册地址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重庆市北碚区天府镇后峰路机修厂内</w:t>
            </w:r>
            <w:bookmarkEnd w:id="5"/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与《营业执照》内容一致。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经营地址：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重庆市北碚区天府镇后峰路机修厂内</w:t>
            </w:r>
          </w:p>
          <w:p>
            <w:pPr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加工工艺流程图: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金属结构制造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加工——焊接——出厂检验——入库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建筑用金属配件制造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加工——焊接——出厂检验——入库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模具制造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——焊接部装——焊后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加工——总装——出厂检验——入库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农业机械制造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加工——焊接部装——焊后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加工——总装——出厂检验——入库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内容一致</w:t>
            </w:r>
          </w:p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内容不同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认证范围内管理体系覆盖的人数（总计人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2020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已培训了相关标准和内审员知识；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□满足要求，■基本满足要求，□不满足要求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主要的内部环境和外部环境分析的充分性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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主要的相关方和期望的充分性</w:t>
            </w:r>
            <w:r>
              <w:rPr>
                <w:rFonts w:asciiTheme="minorEastAsia" w:hAnsiTheme="minorEastAsia" w:eastAsiaTheme="minorEastAsia"/>
                <w:color w:val="000000"/>
                <w:szCs w:val="18"/>
              </w:rPr>
              <w:t xml:space="preserve"> 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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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已实施   </w:t>
            </w:r>
            <w:r>
              <w:rPr>
                <w:rFonts w:asciiTheme="minorEastAsia" w:hAnsiTheme="minorEastAsia" w:eastAsiaTheme="minorEastAsia"/>
                <w:color w:val="000000"/>
              </w:rPr>
              <w:t>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不充分，需要完善：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确定外部提供过程、产品和服务（外包过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18"/>
              </w:rPr>
              <w:t>程）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color w:val="000000"/>
                <w:szCs w:val="18"/>
                <w:lang w:val="en-US" w:eastAsia="zh-CN"/>
              </w:rPr>
              <w:t>无。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rFonts w:asciiTheme="minorEastAsia" w:hAnsiTheme="minorEastAsia" w:eastAsiaTheme="minorEastAsia"/>
                <w:color w:val="000000"/>
                <w:u w:val="single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未发生   </w:t>
            </w:r>
            <w:r>
              <w:rPr>
                <w:rFonts w:asciiTheme="minorEastAsia" w:hAnsiTheme="minorEastAsia" w:eastAsiaTheme="minorEastAsia"/>
                <w:color w:val="000000"/>
              </w:rPr>
              <w:t>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已发生，说明： </w:t>
            </w:r>
            <w:r>
              <w:rPr>
                <w:rFonts w:hint="eastAsia" w:asciiTheme="minorEastAsia" w:hAnsiTheme="minorEastAsia" w:eastAsiaTheme="minorEastAsia"/>
                <w:color w:val="000000"/>
                <w:u w:val="single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Theme="minorEastAsia" w:hAnsiTheme="minorEastAsia" w:eastAsiaTheme="minorEastAsia"/>
                <w:color w:val="000000"/>
              </w:rPr>
              <w:t>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 xml:space="preserve">已收集到以往的不符合项   </w:t>
            </w:r>
            <w:r>
              <w:rPr>
                <w:rFonts w:asciiTheme="minorEastAsia" w:hAnsiTheme="minorEastAsia" w:eastAsiaTheme="minorEastAsia"/>
                <w:color w:val="000000"/>
              </w:rPr>
              <w:t>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  <w:u w:val="single"/>
                <w:lang w:val="en-US" w:eastAsia="zh-CN"/>
              </w:rPr>
              <w:t>“质量第一，用户至上，以先进而可靠的技术，科学而高效的管理，提供国 内外用户满意、质量第一流的产品</w:t>
            </w:r>
            <w:r>
              <w:rPr>
                <w:rFonts w:hint="eastAsia" w:cs="Times New Roman"/>
                <w:color w:val="000000"/>
                <w:szCs w:val="18"/>
                <w:u w:val="single"/>
                <w:lang w:val="en-US" w:eastAsia="zh-CN"/>
              </w:rPr>
              <w:t>”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文件发放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 xml:space="preserve">标语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展板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  <w:lang w:eastAsia="zh-CN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网站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spacing w:val="-2"/>
                <w:szCs w:val="21"/>
              </w:rPr>
              <w:t>员工手册</w:t>
            </w:r>
            <w:r>
              <w:rPr>
                <w:rFonts w:asciiTheme="minorEastAsia" w:hAnsiTheme="minorEastAsia" w:eastAsiaTheme="minorEastAsia"/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18"/>
              </w:rPr>
              <w:t>目标已制定，内容为：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成品交验一次合格率≥98%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每季度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成品交验一次合格数/成品总*100%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进货一次交验合格率≥95%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每季度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进货一次交验合格数/进货交验总数*100%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 xml:space="preserve">顾客满意率≥90%； 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每年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根据顾客满意度调查结果和过程业绩的结果综合计算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95%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交付后跟踪服务率100%；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每季度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产品交付后跟踪服务次数/产品交付总次数*100%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合同履约率 100%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每季度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合同履约数量/ 合同总数*100%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 w:val="21"/>
                      <w:szCs w:val="21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杜绝重大质量事故发生</w:t>
                  </w:r>
                </w:p>
              </w:tc>
              <w:tc>
                <w:tcPr>
                  <w:tcW w:w="1387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eastAsia="zh-CN"/>
                    </w:rPr>
                    <w:t>每季度</w:t>
                  </w:r>
                </w:p>
              </w:tc>
              <w:tc>
                <w:tcPr>
                  <w:tcW w:w="3499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重大质量事故发生次数统计表</w:t>
                  </w:r>
                </w:p>
              </w:tc>
              <w:tc>
                <w:tcPr>
                  <w:tcW w:w="2444" w:type="dxa"/>
                  <w:vAlign w:val="top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重大质量事故发生0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张心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  <w:highlight w:val="none"/>
              </w:rPr>
              <w:t xml:space="preserve">份；覆盖了 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■</w:t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QMS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□5</w:t>
            </w:r>
            <w:r>
              <w:rPr>
                <w:color w:val="000000"/>
                <w:szCs w:val="21"/>
                <w:highlight w:val="none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OHSMS 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FS</w:t>
            </w:r>
            <w:r>
              <w:rPr>
                <w:color w:val="000000"/>
                <w:spacing w:val="-2"/>
                <w:szCs w:val="21"/>
                <w:highlight w:val="none"/>
              </w:rPr>
              <w:t xml:space="preserve">MS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  <w:highlight w:val="none"/>
              </w:rPr>
              <w:t>HACCP</w:t>
            </w:r>
          </w:p>
          <w:p>
            <w:pPr>
              <w:rPr>
                <w:color w:val="000000"/>
                <w:szCs w:val="18"/>
                <w:highlight w:val="none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-文件化的程序；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1份（程序文件19个）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；详见《受控文件清单》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-作业文件；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27个）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-记录表格；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  <w:u w:val="single"/>
              </w:rPr>
              <w:t>年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  <w:u w:val="single"/>
              </w:rPr>
              <w:t>月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29-30</w:t>
            </w:r>
            <w:r>
              <w:rPr>
                <w:rFonts w:hint="eastAsia"/>
                <w:color w:val="000000"/>
                <w:szCs w:val="18"/>
                <w:u w:val="single"/>
              </w:rPr>
              <w:t>日</w:t>
            </w:r>
            <w:r>
              <w:rPr>
                <w:rFonts w:hint="eastAsia"/>
                <w:color w:val="000000"/>
                <w:szCs w:val="18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内审计划、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内审检查表、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不符合项报告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份、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  <w:highlight w:val="cya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自管理体系建立后，于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 xml:space="preserve"> 2021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  <w:u w:val="single"/>
                <w:lang w:val="en-US" w:eastAsia="zh-CN"/>
              </w:rPr>
              <w:t>28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rFonts w:asciiTheme="minorEastAsia" w:hAnsiTheme="minorEastAsia" w:eastAsiaTheme="minorEastAsia"/>
                <w:color w:val="000000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管理评审输入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■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8.3条款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val="en-US" w:eastAsia="zh-CN"/>
              </w:rPr>
              <w:t>公司根据客户图纸及技术要求进行生产，不涉及产品设计开发。该条款不适用于公司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，不适用本条款不影响公司提供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Lucida Sans"/>
                <w:sz w:val="21"/>
                <w:szCs w:val="21"/>
                <w:lang w:eastAsia="zh-CN"/>
              </w:rPr>
              <w:t>的质量及满足顾客及法律法规要求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。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eastAsia="zh-CN"/>
              </w:rPr>
              <w:t>机加、组装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尺寸、焊接牢固度、性能等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焊接过程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人员技能、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设备能力、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原料控制、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工艺方法、□工作环境、□破坏性试验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spacing w:after="200" w:line="276" w:lineRule="auto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</w:rPr>
              <w:t>近一年顾客投诉处理情况，</w:t>
            </w:r>
            <w:r>
              <w:rPr>
                <w:rFonts w:hint="eastAsia" w:eastAsia="宋体"/>
                <w:szCs w:val="21"/>
              </w:rPr>
              <w:t>■</w:t>
            </w:r>
            <w:r>
              <w:rPr>
                <w:rFonts w:hint="eastAsia" w:eastAsia="宋体"/>
                <w:color w:val="000000"/>
              </w:rPr>
              <w:t>未发生</w:t>
            </w:r>
          </w:p>
          <w:p>
            <w:pPr>
              <w:spacing w:after="200" w:line="276" w:lineRule="auto"/>
              <w:ind w:firstLine="2520" w:firstLineChars="1200"/>
              <w:rPr>
                <w:rFonts w:eastAsia="宋体"/>
                <w:color w:val="000000"/>
                <w:u w:val="single"/>
              </w:rPr>
            </w:pPr>
            <w:r>
              <w:rPr>
                <w:rFonts w:hint="eastAsia" w:eastAsia="宋体"/>
                <w:color w:val="000000"/>
                <w:szCs w:val="21"/>
              </w:rPr>
              <w:t>□</w:t>
            </w:r>
            <w:r>
              <w:rPr>
                <w:rFonts w:hint="eastAsia" w:eastAsia="宋体"/>
                <w:color w:val="000000"/>
              </w:rPr>
              <w:t>发生过，说明</w:t>
            </w:r>
            <w:r>
              <w:rPr>
                <w:rFonts w:eastAsia="宋体"/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 w:eastAsia="宋体"/>
                <w:color w:val="000000"/>
                <w:u w:val="single"/>
              </w:rPr>
              <w:t xml:space="preserve">； </w:t>
            </w:r>
          </w:p>
          <w:p>
            <w:pPr>
              <w:spacing w:after="200" w:line="276" w:lineRule="auto"/>
              <w:rPr>
                <w:rFonts w:eastAsia="宋体"/>
                <w:color w:val="000000"/>
                <w:u w:val="single"/>
              </w:rPr>
            </w:pPr>
            <w:r>
              <w:rPr>
                <w:rFonts w:hint="eastAsia" w:eastAsia="宋体"/>
                <w:color w:val="000000"/>
              </w:rPr>
              <w:t>近一年重大质量事故情况，</w:t>
            </w:r>
            <w:r>
              <w:rPr>
                <w:rFonts w:hint="eastAsia" w:eastAsia="宋体"/>
                <w:szCs w:val="21"/>
              </w:rPr>
              <w:t>■</w:t>
            </w:r>
            <w:r>
              <w:rPr>
                <w:rFonts w:hint="eastAsia" w:eastAsia="宋体"/>
                <w:color w:val="000000"/>
              </w:rPr>
              <w:t xml:space="preserve">未发生 </w:t>
            </w:r>
          </w:p>
          <w:p>
            <w:pPr>
              <w:spacing w:after="200" w:line="276" w:lineRule="auto"/>
              <w:ind w:firstLine="2520" w:firstLineChars="1200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Cs w:val="21"/>
              </w:rPr>
              <w:t>□</w:t>
            </w:r>
            <w:r>
              <w:rPr>
                <w:rFonts w:hint="eastAsia" w:eastAsia="宋体"/>
                <w:color w:val="000000"/>
              </w:rPr>
              <w:t>发生过，说明</w:t>
            </w:r>
            <w:r>
              <w:rPr>
                <w:rFonts w:eastAsia="宋体"/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 w:eastAsia="宋体"/>
                <w:color w:val="000000"/>
                <w:u w:val="single"/>
              </w:rPr>
              <w:t>；</w:t>
            </w:r>
          </w:p>
          <w:p>
            <w:pPr>
              <w:spacing w:after="200" w:line="276" w:lineRule="auto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</w:rPr>
              <w:t xml:space="preserve">近一年产品召回的情况。 </w:t>
            </w:r>
            <w:r>
              <w:rPr>
                <w:rFonts w:eastAsia="宋体"/>
                <w:color w:val="000000"/>
              </w:rPr>
              <w:t xml:space="preserve"> </w:t>
            </w:r>
            <w:r>
              <w:rPr>
                <w:rFonts w:hint="eastAsia" w:eastAsia="宋体"/>
                <w:szCs w:val="21"/>
              </w:rPr>
              <w:t>■</w:t>
            </w:r>
            <w:r>
              <w:rPr>
                <w:rFonts w:hint="eastAsia" w:eastAsia="宋体"/>
                <w:color w:val="000000"/>
              </w:rPr>
              <w:t xml:space="preserve">未发生  </w:t>
            </w:r>
          </w:p>
          <w:p>
            <w:pPr>
              <w:spacing w:after="200" w:line="276" w:lineRule="auto"/>
              <w:ind w:firstLine="2520" w:firstLineChars="1200"/>
              <w:rPr>
                <w:rFonts w:eastAsia="宋体"/>
                <w:color w:val="000000"/>
              </w:rPr>
            </w:pPr>
            <w:r>
              <w:rPr>
                <w:rFonts w:hint="eastAsia" w:eastAsia="宋体"/>
                <w:color w:val="000000"/>
                <w:szCs w:val="21"/>
              </w:rPr>
              <w:t>□</w:t>
            </w:r>
            <w:r>
              <w:rPr>
                <w:rFonts w:hint="eastAsia" w:eastAsia="宋体"/>
                <w:color w:val="000000"/>
              </w:rPr>
              <w:t>发生过，说明</w:t>
            </w:r>
            <w:r>
              <w:rPr>
                <w:rFonts w:hint="eastAsia" w:eastAsia="宋体"/>
                <w:color w:val="000000"/>
                <w:u w:val="single"/>
              </w:rPr>
              <w:t xml:space="preserve"> </w:t>
            </w:r>
            <w:r>
              <w:rPr>
                <w:rFonts w:eastAsia="宋体"/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 w:eastAsia="宋体"/>
                <w:color w:val="000000"/>
                <w:u w:val="single"/>
              </w:rPr>
              <w:t xml:space="preserve">； </w:t>
            </w:r>
            <w:r>
              <w:rPr>
                <w:rFonts w:eastAsia="宋体"/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发生过，说明；</w:t>
            </w:r>
            <w:r>
              <w:rPr>
                <w:rFonts w:hint="eastAsia"/>
                <w:color w:val="000000"/>
                <w:lang w:val="en-US" w:eastAsia="zh-CN"/>
              </w:rPr>
              <w:t>组织于2021年11月实施了顾客满意调查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>，</w:t>
            </w:r>
            <w:r>
              <w:rPr>
                <w:rFonts w:hint="eastAsia"/>
                <w:color w:val="000000"/>
                <w:lang w:val="zh-CN" w:eastAsia="zh-CN"/>
              </w:rPr>
              <w:t>顾客满意度</w:t>
            </w:r>
            <w:r>
              <w:rPr>
                <w:rFonts w:hint="eastAsia"/>
                <w:color w:val="000000"/>
                <w:lang w:val="en-US" w:eastAsia="zh-CN"/>
              </w:rPr>
              <w:t xml:space="preserve">达到95% ，超过了设定管理目标。  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bookmarkStart w:id="6" w:name="_GoBack"/>
            <w:bookmarkEnd w:id="6"/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厂区、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原料/成品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  <w:color w:val="000000"/>
              </w:rPr>
              <w:t>确认生产/服务流程：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金属结构制造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——焊接——出厂检验——入库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建筑用金属配件制造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——焊接——出厂检验——入库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模具制造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——焊接部装——焊后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——总装——出厂检验——入库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农业机械制造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下料——校形——成形——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——焊接部装——焊后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——总装——出厂检验——入库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数控车床、外圆磨床、平面磨床、内圆磨、龙门刨床、铣床、摇臂钻、剪板机、手动工具等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游标卡尺、千分尺、深度尺、钢卷尺、塞尺、摆锤式冲击试验机等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 w:ascii="Times New Roman" w:hAnsi="Times New Roman" w:eastAsia="宋体" w:cs="Times New Roman"/>
                <w:color w:val="00000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由厂房租赁方：重庆天巨承机械制造有限责任公司提供，具体内容见租赁合同）</w:t>
            </w:r>
            <w:r>
              <w:rPr>
                <w:rFonts w:hint="eastAsia" w:ascii="Times New Roman" w:hAnsi="Times New Roman" w:eastAsia="宋体" w:cs="Times New Roman"/>
                <w:color w:val="000000"/>
              </w:rPr>
              <w:t>□校准基本受控 □ 校准失控，说明；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FF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场内机动车辆（叉车）</w:t>
            </w:r>
            <w:r>
              <w:rPr>
                <w:rFonts w:hint="eastAsia" w:ascii="Times New Roman" w:hAnsi="Times New Roman" w:eastAsia="宋体" w:cs="Times New Roman"/>
                <w:color w:val="0000FF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FF"/>
                <w:lang w:val="en-US" w:eastAsia="zh-CN"/>
              </w:rPr>
              <w:t>由厂房租赁方：重庆天巨承机械制造有限责任公司提供，具体内容见租赁合同）</w:t>
            </w:r>
            <w:r>
              <w:rPr>
                <w:rFonts w:hint="eastAsia"/>
                <w:color w:val="0000FF"/>
                <w:szCs w:val="21"/>
              </w:rPr>
              <w:t>；</w:t>
            </w:r>
            <w:r>
              <w:rPr>
                <w:rFonts w:hint="eastAsia"/>
                <w:color w:val="0000FF"/>
                <w:szCs w:val="21"/>
                <w:lang w:eastAsia="zh-CN"/>
              </w:rPr>
              <w:t>■</w:t>
            </w:r>
            <w:r>
              <w:rPr>
                <w:rFonts w:hint="eastAsia"/>
                <w:color w:val="0000FF"/>
                <w:szCs w:val="21"/>
              </w:rPr>
              <w:t>起重机械</w:t>
            </w:r>
            <w:r>
              <w:rPr>
                <w:rFonts w:hint="eastAsia" w:ascii="Times New Roman" w:hAnsi="Times New Roman" w:eastAsia="宋体" w:cs="Times New Roman"/>
                <w:color w:val="0000FF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FF"/>
                <w:lang w:val="en-US" w:eastAsia="zh-CN"/>
              </w:rPr>
              <w:t>由厂房租赁方：重庆天巨承机械制造有限责任公司提供，具体内容见租赁合同）</w:t>
            </w:r>
            <w:r>
              <w:rPr>
                <w:rFonts w:hint="eastAsia"/>
                <w:color w:val="0000FF"/>
                <w:szCs w:val="21"/>
              </w:rPr>
              <w:t>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Wingdings" w:hAnsi="Wingdings"/>
                <w:color w:val="000000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杨珍全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□交通食宿  □劳保用品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          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识别二阶段审核的可行性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>审核组成员的可接受性  □一阶段的问题已整改</w:t>
            </w:r>
          </w:p>
          <w:p>
            <w:pPr>
              <w:pStyle w:val="15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■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37.9pt;margin-top:2.6pt;height:20.2pt;width:85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16C4422C"/>
    <w:rsid w:val="205127E8"/>
    <w:rsid w:val="213C27A9"/>
    <w:rsid w:val="238622A0"/>
    <w:rsid w:val="28F02DCD"/>
    <w:rsid w:val="2B7106A1"/>
    <w:rsid w:val="38B1392E"/>
    <w:rsid w:val="3D411EAB"/>
    <w:rsid w:val="531F4AD2"/>
    <w:rsid w:val="587714B2"/>
    <w:rsid w:val="5BE05CFA"/>
    <w:rsid w:val="65A17F37"/>
    <w:rsid w:val="72FA23E3"/>
    <w:rsid w:val="764E4EE9"/>
    <w:rsid w:val="7EC758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6</TotalTime>
  <ScaleCrop>false</ScaleCrop>
  <LinksUpToDate>false</LinksUpToDate>
  <CharactersWithSpaces>13072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心</cp:lastModifiedBy>
  <dcterms:modified xsi:type="dcterms:W3CDTF">2022-02-22T14:08:11Z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2052-11.1.0.11294</vt:lpwstr>
  </property>
</Properties>
</file>