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0062-2022-QE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重庆兰阀流体控制设备有限公司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重庆兰阀流体控制设备有限公司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重庆市渝北区双凤桥街道翔宇路36号2幢</w:t>
            </w:r>
            <w:bookmarkEnd w:id="6"/>
          </w:p>
        </w:tc>
        <w:tc>
          <w:tcPr>
            <w:tcW w:w="1242" w:type="dxa"/>
            <w:vMerge w:val="restart"/>
            <w:vAlign w:val="center"/>
          </w:tcPr>
          <w:p>
            <w:r>
              <w:rPr>
                <w:rFonts w:hint="eastAsia"/>
              </w:rPr>
              <w:t>邮编</w:t>
            </w:r>
          </w:p>
        </w:tc>
        <w:tc>
          <w:tcPr>
            <w:tcW w:w="1771" w:type="dxa"/>
          </w:tcPr>
          <w:p>
            <w:bookmarkStart w:id="7" w:name="注册邮编"/>
            <w:r>
              <w:t>401120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重庆市渝北区双凤桥街道翔宇路36号2幢</w:t>
            </w:r>
            <w:bookmarkEnd w:id="8"/>
          </w:p>
        </w:tc>
        <w:tc>
          <w:tcPr>
            <w:tcW w:w="1242" w:type="dxa"/>
            <w:vMerge w:val="continue"/>
            <w:vAlign w:val="center"/>
          </w:tcPr>
          <w:p/>
        </w:tc>
        <w:tc>
          <w:tcPr>
            <w:tcW w:w="1771" w:type="dxa"/>
          </w:tcPr>
          <w:p>
            <w:bookmarkStart w:id="9" w:name="办公邮编"/>
            <w:r>
              <w:t>401120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杨健</w:t>
            </w:r>
            <w:bookmarkEnd w:id="10"/>
          </w:p>
        </w:tc>
        <w:tc>
          <w:tcPr>
            <w:tcW w:w="1313" w:type="dxa"/>
            <w:vAlign w:val="center"/>
          </w:tcPr>
          <w:p>
            <w:r>
              <w:rPr>
                <w:rFonts w:hint="eastAsia"/>
              </w:rPr>
              <w:t>电话.</w:t>
            </w:r>
          </w:p>
        </w:tc>
        <w:tc>
          <w:tcPr>
            <w:tcW w:w="2180" w:type="dxa"/>
            <w:vAlign w:val="center"/>
          </w:tcPr>
          <w:p>
            <w:bookmarkStart w:id="11" w:name="联系人电话"/>
            <w:r>
              <w:t>023-67188413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杨明忠</w:t>
            </w:r>
            <w:bookmarkEnd w:id="13"/>
          </w:p>
        </w:tc>
        <w:tc>
          <w:tcPr>
            <w:tcW w:w="1313" w:type="dxa"/>
            <w:vAlign w:val="center"/>
          </w:tcPr>
          <w:p>
            <w:r>
              <w:rPr>
                <w:rFonts w:hint="eastAsia"/>
              </w:rPr>
              <w:t>管理者代表</w:t>
            </w:r>
          </w:p>
        </w:tc>
        <w:tc>
          <w:tcPr>
            <w:tcW w:w="2180" w:type="dxa"/>
          </w:tcPr>
          <w:p>
            <w:bookmarkStart w:id="14" w:name="管理者代表"/>
            <w:r>
              <w:t>杨健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000000" w:themeColor="text1"/>
                <w:highlight w:val="none"/>
              </w:rPr>
            </w:pPr>
            <w:r>
              <w:rPr>
                <w:rFonts w:hint="eastAsia"/>
                <w:color w:val="000000" w:themeColor="text1"/>
                <w:highlight w:val="none"/>
              </w:rPr>
              <w:t>多班次说明</w:t>
            </w:r>
          </w:p>
        </w:tc>
        <w:tc>
          <w:tcPr>
            <w:tcW w:w="8058" w:type="dxa"/>
            <w:gridSpan w:val="5"/>
            <w:shd w:val="clear" w:color="auto" w:fill="auto"/>
          </w:tcPr>
          <w:p>
            <w:pPr>
              <w:rPr>
                <w:color w:val="000000" w:themeColor="text1"/>
                <w:highlight w:val="none"/>
              </w:rPr>
            </w:pPr>
            <w:r>
              <w:rPr>
                <w:rFonts w:hint="eastAsia"/>
                <w:color w:val="000000" w:themeColor="text1"/>
                <w:highlight w:val="none"/>
              </w:rPr>
              <w:t>受审核组织的班次：</w:t>
            </w:r>
            <w:r>
              <w:rPr>
                <w:rFonts w:hint="eastAsia" w:ascii="宋体" w:hAnsi="宋体" w:eastAsia="宋体" w:cs="宋体"/>
                <w:color w:val="000000" w:themeColor="text1"/>
                <w:highlight w:val="none"/>
              </w:rPr>
              <w:t>■</w:t>
            </w:r>
            <w:r>
              <w:rPr>
                <w:rFonts w:hint="eastAsia"/>
                <w:color w:val="000000" w:themeColor="text1"/>
                <w:highlight w:val="none"/>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产品销售服务流程：</w:t>
            </w:r>
          </w:p>
          <w:p>
            <w:r>
              <w:rPr>
                <w:rFonts w:hint="eastAsia"/>
              </w:rPr>
              <w:t xml:space="preserve">   流程：联系客户—业务洽谈—合同签订—采购产品—检验—产品销售—客户签收—销售服务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2022年01月23日 上午至2022年01月24日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ascii="宋体" w:hAnsi="宋体" w:eastAsia="宋体" w:cs="宋体"/>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Q：流体控制设备、仪器仪表、阀门及配件的销售</w:t>
            </w:r>
          </w:p>
          <w:p>
            <w:r>
              <w:t>E：流体控制设备、仪器仪表、阀门及配件的销售所涉及场所的相关环境管理活动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ascii="宋体" w:hAnsi="宋体" w:eastAsia="宋体" w:cs="宋体"/>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体系文件实施时间</w:t>
            </w:r>
          </w:p>
        </w:tc>
        <w:tc>
          <w:tcPr>
            <w:tcW w:w="2733" w:type="dxa"/>
          </w:tcPr>
          <w:p>
            <w:pPr>
              <w:rPr>
                <w:highlight w:val="none"/>
              </w:rPr>
            </w:pPr>
            <w:r>
              <w:rPr>
                <w:rFonts w:hint="eastAsia"/>
                <w:highlight w:val="none"/>
                <w:lang w:val="en-US" w:eastAsia="zh-CN"/>
              </w:rPr>
              <w:t>2019</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1</w:t>
            </w:r>
            <w:r>
              <w:rPr>
                <w:rFonts w:hint="eastAsia"/>
                <w:highlight w:val="none"/>
              </w:rPr>
              <w:t>日</w:t>
            </w:r>
          </w:p>
          <w:p>
            <w:pPr>
              <w:rPr>
                <w:highlight w:val="none"/>
              </w:rPr>
            </w:pPr>
          </w:p>
        </w:tc>
        <w:tc>
          <w:tcPr>
            <w:tcW w:w="1883" w:type="dxa"/>
            <w:vAlign w:val="center"/>
          </w:tcPr>
          <w:p>
            <w:pPr>
              <w:rPr>
                <w:highlight w:val="none"/>
              </w:rPr>
            </w:pPr>
            <w:r>
              <w:rPr>
                <w:rFonts w:hint="eastAsia"/>
                <w:highlight w:val="none"/>
              </w:rPr>
              <w:t>管理体系运行已超过3个月</w:t>
            </w:r>
          </w:p>
        </w:tc>
        <w:tc>
          <w:tcPr>
            <w:tcW w:w="3215" w:type="dxa"/>
            <w:vAlign w:val="center"/>
          </w:tcPr>
          <w:p>
            <w:pPr>
              <w:rPr>
                <w:highlight w:val="none"/>
              </w:rPr>
            </w:pPr>
            <w:r>
              <w:rPr>
                <w:rFonts w:hint="eastAsia" w:ascii="宋体" w:hAnsi="宋体" w:eastAsia="宋体" w:cs="宋体"/>
                <w:highlight w:val="none"/>
              </w:rPr>
              <w:t>■</w:t>
            </w:r>
            <w:r>
              <w:rPr>
                <w:rFonts w:hint="eastAsia"/>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highlight w:val="none"/>
              </w:rPr>
            </w:pPr>
            <w:r>
              <w:rPr>
                <w:rFonts w:hint="eastAsia"/>
                <w:highlight w:val="none"/>
              </w:rPr>
              <w:t>上次审核时间</w:t>
            </w:r>
          </w:p>
        </w:tc>
        <w:tc>
          <w:tcPr>
            <w:tcW w:w="2733" w:type="dxa"/>
            <w:vAlign w:val="center"/>
          </w:tcPr>
          <w:p>
            <w:pPr>
              <w:rPr>
                <w:highlight w:val="none"/>
              </w:rPr>
            </w:pPr>
            <w:r>
              <w:rPr>
                <w:rFonts w:hint="eastAsia"/>
                <w:b/>
                <w:sz w:val="20"/>
              </w:rPr>
              <w:t>2021年02月02日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w:t>
            </w:r>
            <w:r>
              <w:rPr>
                <w:rFonts w:hint="eastAsia"/>
                <w:highlight w:val="none"/>
                <w:lang w:val="en-US" w:eastAsia="zh-CN"/>
              </w:rPr>
              <w:t>2022</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8</w:t>
            </w:r>
            <w:r>
              <w:rPr>
                <w:rFonts w:hint="eastAsia"/>
                <w:highlight w:val="none"/>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36"/>
        <w:gridCol w:w="1610"/>
        <w:gridCol w:w="690"/>
        <w:gridCol w:w="1870"/>
        <w:gridCol w:w="17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36" w:type="dxa"/>
            <w:shd w:val="clear" w:color="auto" w:fill="F3F3F3"/>
            <w:tcMar>
              <w:left w:w="57" w:type="dxa"/>
              <w:right w:w="57" w:type="dxa"/>
            </w:tcMar>
          </w:tcPr>
          <w:p>
            <w:r>
              <w:rPr>
                <w:rFonts w:hint="eastAsia"/>
              </w:rPr>
              <w:t>组织名称及注册场所地址</w:t>
            </w:r>
          </w:p>
        </w:tc>
        <w:tc>
          <w:tcPr>
            <w:tcW w:w="1610" w:type="dxa"/>
            <w:shd w:val="clear" w:color="auto" w:fill="F3F3F3"/>
            <w:tcMar>
              <w:left w:w="57" w:type="dxa"/>
              <w:right w:w="57" w:type="dxa"/>
            </w:tcMar>
          </w:tcPr>
          <w:p>
            <w:r>
              <w:rPr>
                <w:rFonts w:hint="eastAsia"/>
              </w:rPr>
              <w:t>经营场所的地址</w:t>
            </w:r>
          </w:p>
          <w:p>
            <w:r>
              <w:rPr>
                <w:rFonts w:hint="eastAsia"/>
              </w:rPr>
              <w:t>（多现场和临时现场）</w:t>
            </w:r>
          </w:p>
        </w:tc>
        <w:tc>
          <w:tcPr>
            <w:tcW w:w="690" w:type="dxa"/>
            <w:shd w:val="clear" w:color="auto" w:fill="F3F3F3"/>
            <w:tcMar>
              <w:left w:w="57" w:type="dxa"/>
              <w:right w:w="57" w:type="dxa"/>
            </w:tcMar>
          </w:tcPr>
          <w:p>
            <w:r>
              <w:rPr>
                <w:rFonts w:hint="eastAsia"/>
              </w:rPr>
              <w:t>员工人数</w:t>
            </w:r>
          </w:p>
        </w:tc>
        <w:tc>
          <w:tcPr>
            <w:tcW w:w="1870" w:type="dxa"/>
            <w:shd w:val="clear" w:color="auto" w:fill="F3F3F3"/>
            <w:tcMar>
              <w:left w:w="57" w:type="dxa"/>
              <w:right w:w="57" w:type="dxa"/>
            </w:tcMar>
          </w:tcPr>
          <w:p>
            <w:r>
              <w:rPr>
                <w:rFonts w:hint="eastAsia"/>
              </w:rPr>
              <w:t>审核范围（产品和过程）</w:t>
            </w:r>
          </w:p>
          <w:p/>
          <w:p/>
        </w:tc>
        <w:tc>
          <w:tcPr>
            <w:tcW w:w="17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36" w:type="dxa"/>
          </w:tcPr>
          <w:p>
            <w:pPr>
              <w:rPr>
                <w:rFonts w:hint="eastAsia" w:ascii="Times New Roman" w:hAnsi="Times New Roman" w:eastAsia="宋体" w:cs="Times New Roman"/>
                <w:sz w:val="20"/>
                <w:lang w:val="en-US" w:eastAsia="zh-CN"/>
              </w:rPr>
            </w:pPr>
            <w:r>
              <w:rPr>
                <w:rFonts w:ascii="Times New Roman" w:hAnsi="Times New Roman" w:eastAsia="宋体" w:cs="Times New Roman"/>
                <w:sz w:val="20"/>
              </w:rPr>
              <w:t>重庆兰阀流体控制设备有限公司</w:t>
            </w:r>
            <w:r>
              <w:rPr>
                <w:rFonts w:hint="eastAsia" w:ascii="Times New Roman" w:hAnsi="Times New Roman" w:eastAsia="宋体" w:cs="Times New Roman"/>
                <w:sz w:val="20"/>
                <w:lang w:val="en-US" w:eastAsia="zh-CN"/>
              </w:rPr>
              <w:t>/</w:t>
            </w:r>
            <w:r>
              <w:rPr>
                <w:rFonts w:ascii="Times New Roman" w:hAnsi="Times New Roman" w:eastAsia="宋体" w:cs="Times New Roman"/>
                <w:sz w:val="20"/>
              </w:rPr>
              <w:t>重庆市渝北区双凤桥街道翔宇路36号2幢</w:t>
            </w:r>
          </w:p>
        </w:tc>
        <w:tc>
          <w:tcPr>
            <w:tcW w:w="1610" w:type="dxa"/>
          </w:tcPr>
          <w:p>
            <w:pPr>
              <w:rPr>
                <w:rFonts w:ascii="Times New Roman" w:hAnsi="Times New Roman" w:eastAsia="宋体" w:cs="Times New Roman"/>
                <w:sz w:val="20"/>
                <w:lang w:val="de-DE" w:eastAsia="ja-JP"/>
              </w:rPr>
            </w:pPr>
            <w:r>
              <w:rPr>
                <w:rFonts w:ascii="Times New Roman" w:hAnsi="Times New Roman" w:eastAsia="宋体" w:cs="Times New Roman"/>
                <w:sz w:val="20"/>
              </w:rPr>
              <w:t>重庆市渝北区双凤桥街道翔宇路36号2幢</w:t>
            </w:r>
          </w:p>
        </w:tc>
        <w:tc>
          <w:tcPr>
            <w:tcW w:w="690" w:type="dxa"/>
            <w:vAlign w:val="center"/>
          </w:tcPr>
          <w:p>
            <w:pP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15</w:t>
            </w:r>
          </w:p>
        </w:tc>
        <w:tc>
          <w:tcPr>
            <w:tcW w:w="1870" w:type="dxa"/>
            <w:vAlign w:val="center"/>
          </w:tcPr>
          <w:p>
            <w:pPr>
              <w:rPr>
                <w:rFonts w:ascii="Times New Roman" w:hAnsi="Times New Roman" w:eastAsia="宋体" w:cs="Times New Roman"/>
                <w:sz w:val="20"/>
                <w:lang w:eastAsia="ja-JP"/>
              </w:rPr>
            </w:pPr>
            <w:r>
              <w:rPr>
                <w:rFonts w:ascii="Times New Roman" w:hAnsi="Times New Roman" w:eastAsia="宋体" w:cs="Times New Roman"/>
                <w:sz w:val="20"/>
              </w:rPr>
              <w:t>流体控制设备、仪器仪表、阀门及配件的销售</w:t>
            </w:r>
          </w:p>
        </w:tc>
        <w:tc>
          <w:tcPr>
            <w:tcW w:w="1771" w:type="dxa"/>
            <w:vAlign w:val="center"/>
          </w:tcPr>
          <w:p>
            <w:pPr>
              <w:rPr>
                <w:rFonts w:ascii="Times New Roman" w:hAnsi="Times New Roman" w:eastAsia="宋体" w:cs="Times New Roman"/>
                <w:sz w:val="20"/>
                <w:lang w:val="en-US" w:eastAsia="ja-JP"/>
              </w:rPr>
            </w:pPr>
            <w:r>
              <w:rPr>
                <w:rFonts w:hint="eastAsia" w:ascii="Times New Roman" w:hAnsi="Times New Roman" w:eastAsia="宋体" w:cs="Times New Roman"/>
                <w:sz w:val="20"/>
              </w:rPr>
              <w:t>GB/T19001-2016/ISO 9001:2015</w:t>
            </w:r>
          </w:p>
        </w:tc>
        <w:tc>
          <w:tcPr>
            <w:tcW w:w="668" w:type="dxa"/>
            <w:shd w:val="clear" w:color="auto" w:fill="FFFFFF"/>
            <w:vAlign w:val="top"/>
          </w:tcPr>
          <w:p>
            <w:pPr>
              <w:rPr>
                <w:rFonts w:ascii="Times New Roman" w:hAnsi="Times New Roman" w:eastAsia="宋体" w:cs="Times New Roman"/>
                <w:sz w:val="20"/>
                <w:lang w:val="en-US" w:eastAsia="zh-CN"/>
              </w:rPr>
            </w:pPr>
            <w:r>
              <w:rPr>
                <w:rFonts w:hint="eastAsia" w:ascii="Times New Roman" w:hAnsi="Times New Roman" w:eastAsia="宋体"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636" w:type="dxa"/>
            <w:vAlign w:val="top"/>
          </w:tcPr>
          <w:p>
            <w:pPr>
              <w:rPr>
                <w:rFonts w:hint="eastAsia" w:ascii="Times New Roman" w:hAnsi="Times New Roman" w:eastAsia="宋体" w:cs="Times New Roman"/>
                <w:sz w:val="20"/>
                <w:lang w:val="en-US" w:eastAsia="ja-JP"/>
              </w:rPr>
            </w:pPr>
            <w:r>
              <w:rPr>
                <w:rFonts w:ascii="Times New Roman" w:hAnsi="Times New Roman" w:eastAsia="宋体" w:cs="Times New Roman"/>
                <w:sz w:val="20"/>
              </w:rPr>
              <w:t>重庆兰阀流体控制设备有限公司</w:t>
            </w:r>
            <w:r>
              <w:rPr>
                <w:rFonts w:hint="eastAsia" w:ascii="Times New Roman" w:hAnsi="Times New Roman" w:eastAsia="宋体" w:cs="Times New Roman"/>
                <w:sz w:val="20"/>
                <w:lang w:val="en-US" w:eastAsia="zh-CN"/>
              </w:rPr>
              <w:t>/</w:t>
            </w:r>
            <w:r>
              <w:rPr>
                <w:rFonts w:ascii="Times New Roman" w:hAnsi="Times New Roman" w:eastAsia="宋体" w:cs="Times New Roman"/>
                <w:sz w:val="20"/>
              </w:rPr>
              <w:t>重庆市渝北区双凤桥街道翔宇路36号2幢</w:t>
            </w:r>
          </w:p>
        </w:tc>
        <w:tc>
          <w:tcPr>
            <w:tcW w:w="1610" w:type="dxa"/>
            <w:vAlign w:val="top"/>
          </w:tcPr>
          <w:p>
            <w:pPr>
              <w:rPr>
                <w:rFonts w:ascii="Times New Roman" w:hAnsi="Times New Roman" w:eastAsia="宋体" w:cs="Times New Roman"/>
                <w:sz w:val="20"/>
                <w:lang w:val="de-DE" w:eastAsia="ja-JP"/>
              </w:rPr>
            </w:pPr>
            <w:r>
              <w:rPr>
                <w:rFonts w:ascii="Times New Roman" w:hAnsi="Times New Roman" w:eastAsia="宋体" w:cs="Times New Roman"/>
                <w:sz w:val="20"/>
              </w:rPr>
              <w:t>重庆市渝北区双凤桥街道翔宇路36号2幢</w:t>
            </w:r>
          </w:p>
        </w:tc>
        <w:tc>
          <w:tcPr>
            <w:tcW w:w="690" w:type="dxa"/>
            <w:vAlign w:val="center"/>
          </w:tcPr>
          <w:p>
            <w:pPr>
              <w:rPr>
                <w:rFonts w:hint="default" w:ascii="Times New Roman" w:hAnsi="Times New Roman" w:eastAsia="宋体" w:cs="Times New Roman"/>
                <w:sz w:val="20"/>
                <w:lang w:val="en-US" w:eastAsia="ja-JP"/>
              </w:rPr>
            </w:pPr>
            <w:r>
              <w:rPr>
                <w:rFonts w:hint="eastAsia" w:ascii="Times New Roman" w:hAnsi="Times New Roman" w:eastAsia="宋体" w:cs="Times New Roman"/>
                <w:sz w:val="20"/>
                <w:lang w:val="en-US" w:eastAsia="zh-CN"/>
              </w:rPr>
              <w:t>15</w:t>
            </w:r>
          </w:p>
        </w:tc>
        <w:tc>
          <w:tcPr>
            <w:tcW w:w="1870" w:type="dxa"/>
            <w:vAlign w:val="center"/>
          </w:tcPr>
          <w:p>
            <w:pPr>
              <w:rPr>
                <w:rFonts w:ascii="Times New Roman" w:hAnsi="Times New Roman" w:eastAsia="宋体" w:cs="Times New Roman"/>
                <w:sz w:val="20"/>
                <w:lang w:val="en-US" w:eastAsia="ja-JP"/>
              </w:rPr>
            </w:pPr>
            <w:r>
              <w:rPr>
                <w:rFonts w:ascii="Times New Roman" w:hAnsi="Times New Roman" w:eastAsia="宋体" w:cs="Times New Roman"/>
                <w:sz w:val="20"/>
              </w:rPr>
              <w:t>流体控制设备、仪器仪表、阀门及配件的销售所涉及场所的相关环境管理活动</w:t>
            </w:r>
          </w:p>
        </w:tc>
        <w:tc>
          <w:tcPr>
            <w:tcW w:w="1771" w:type="dxa"/>
            <w:vAlign w:val="center"/>
          </w:tcPr>
          <w:p>
            <w:pPr>
              <w:rPr>
                <w:rFonts w:ascii="Times New Roman" w:hAnsi="Times New Roman" w:eastAsia="宋体" w:cs="Times New Roman"/>
                <w:sz w:val="20"/>
                <w:lang w:val="en-US" w:eastAsia="ja-JP"/>
              </w:rPr>
            </w:pPr>
            <w:r>
              <w:rPr>
                <w:rFonts w:hint="eastAsia" w:ascii="Times New Roman" w:hAnsi="Times New Roman" w:eastAsia="宋体" w:cs="Times New Roman"/>
                <w:sz w:val="20"/>
              </w:rPr>
              <w:t>GB/T24001-2016/ISO 14001:2015</w:t>
            </w:r>
          </w:p>
        </w:tc>
        <w:tc>
          <w:tcPr>
            <w:tcW w:w="668" w:type="dxa"/>
            <w:shd w:val="clear" w:color="auto" w:fill="FFFFFF"/>
            <w:vAlign w:val="top"/>
          </w:tcPr>
          <w:p>
            <w:pPr>
              <w:rPr>
                <w:rFonts w:ascii="Times New Roman" w:hAnsi="Times New Roman" w:eastAsia="宋体" w:cs="Times New Roman"/>
                <w:sz w:val="20"/>
                <w:lang w:val="en-US" w:eastAsia="zh-CN"/>
              </w:rPr>
            </w:pPr>
            <w:r>
              <w:rPr>
                <w:rFonts w:hint="eastAsia" w:ascii="Times New Roman" w:hAnsi="Times New Roman" w:eastAsia="宋体"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636" w:type="dxa"/>
            <w:vAlign w:val="center"/>
          </w:tcPr>
          <w:p>
            <w:pPr>
              <w:rPr>
                <w:lang w:eastAsia="ja-JP"/>
              </w:rPr>
            </w:pPr>
          </w:p>
        </w:tc>
        <w:tc>
          <w:tcPr>
            <w:tcW w:w="1610" w:type="dxa"/>
            <w:vAlign w:val="center"/>
          </w:tcPr>
          <w:p>
            <w:pPr>
              <w:rPr>
                <w:lang w:eastAsia="ja-JP"/>
              </w:rPr>
            </w:pPr>
          </w:p>
        </w:tc>
        <w:tc>
          <w:tcPr>
            <w:tcW w:w="690" w:type="dxa"/>
            <w:vAlign w:val="center"/>
          </w:tcPr>
          <w:p>
            <w:pPr>
              <w:rPr>
                <w:lang w:eastAsia="ja-JP"/>
              </w:rPr>
            </w:pPr>
          </w:p>
        </w:tc>
        <w:tc>
          <w:tcPr>
            <w:tcW w:w="1870"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636" w:type="dxa"/>
            <w:vAlign w:val="center"/>
          </w:tcPr>
          <w:p>
            <w:pPr>
              <w:rPr>
                <w:lang w:eastAsia="ja-JP"/>
              </w:rPr>
            </w:pPr>
          </w:p>
        </w:tc>
        <w:tc>
          <w:tcPr>
            <w:tcW w:w="1610" w:type="dxa"/>
            <w:vAlign w:val="center"/>
          </w:tcPr>
          <w:p>
            <w:pPr>
              <w:rPr>
                <w:lang w:eastAsia="ja-JP"/>
              </w:rPr>
            </w:pPr>
          </w:p>
        </w:tc>
        <w:tc>
          <w:tcPr>
            <w:tcW w:w="690" w:type="dxa"/>
            <w:vAlign w:val="center"/>
          </w:tcPr>
          <w:p>
            <w:pPr>
              <w:rPr>
                <w:lang w:eastAsia="ja-JP"/>
              </w:rPr>
            </w:pPr>
          </w:p>
        </w:tc>
        <w:tc>
          <w:tcPr>
            <w:tcW w:w="1870"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636" w:type="dxa"/>
            <w:vAlign w:val="center"/>
          </w:tcPr>
          <w:p>
            <w:pPr>
              <w:rPr>
                <w:lang w:eastAsia="ja-JP"/>
              </w:rPr>
            </w:pPr>
          </w:p>
        </w:tc>
        <w:tc>
          <w:tcPr>
            <w:tcW w:w="1610" w:type="dxa"/>
            <w:vAlign w:val="center"/>
          </w:tcPr>
          <w:p>
            <w:pPr>
              <w:rPr>
                <w:lang w:eastAsia="ja-JP"/>
              </w:rPr>
            </w:pPr>
          </w:p>
        </w:tc>
        <w:tc>
          <w:tcPr>
            <w:tcW w:w="690" w:type="dxa"/>
            <w:vAlign w:val="center"/>
          </w:tcPr>
          <w:p>
            <w:pPr>
              <w:rPr>
                <w:lang w:eastAsia="ja-JP"/>
              </w:rPr>
            </w:pPr>
          </w:p>
        </w:tc>
        <w:tc>
          <w:tcPr>
            <w:tcW w:w="1870"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tc>
        <w:tc>
          <w:tcPr>
            <w:tcW w:w="2179" w:type="dxa"/>
            <w:vAlign w:val="center"/>
          </w:tcPr>
          <w:p>
            <w:r>
              <w:t>Q:29.12.00</w:t>
            </w:r>
          </w:p>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pStyle w:val="12"/>
              <w:rPr>
                <w:rFonts w:hint="eastAsia" w:ascii="宋体" w:hAnsi="宋体"/>
                <w:szCs w:val="21"/>
              </w:rPr>
            </w:pPr>
            <w:r>
              <w:rPr>
                <w:rFonts w:hint="eastAsia"/>
                <w:color w:val="auto"/>
                <w:sz w:val="20"/>
                <w:lang w:val="en-US" w:eastAsia="zh-CN"/>
              </w:rPr>
              <w:t>原注册地为：</w:t>
            </w:r>
            <w:r>
              <w:rPr>
                <w:rFonts w:hint="eastAsia" w:ascii="宋体" w:hAnsi="宋体"/>
                <w:szCs w:val="21"/>
              </w:rPr>
              <w:t>重庆市渝北区回兴街道金锦路27号1号厂房</w:t>
            </w:r>
          </w:p>
          <w:p>
            <w:pPr>
              <w:pStyle w:val="12"/>
            </w:pPr>
            <w:r>
              <w:rPr>
                <w:rFonts w:hint="eastAsia" w:ascii="宋体" w:hAnsi="宋体"/>
                <w:szCs w:val="21"/>
                <w:lang w:val="en-US" w:eastAsia="zh-CN"/>
              </w:rPr>
              <w:t>现</w:t>
            </w:r>
            <w:r>
              <w:rPr>
                <w:rFonts w:hint="eastAsia"/>
                <w:color w:val="auto"/>
                <w:sz w:val="20"/>
                <w:lang w:val="en-US" w:eastAsia="zh-CN"/>
              </w:rPr>
              <w:t>注册地为</w:t>
            </w:r>
            <w:r>
              <w:rPr>
                <w:rFonts w:hint="eastAsia"/>
                <w:color w:val="auto"/>
                <w:sz w:val="20"/>
                <w:lang w:eastAsia="zh-CN"/>
              </w:rPr>
              <w:t>：</w:t>
            </w:r>
            <w:r>
              <w:rPr>
                <w:rFonts w:hint="eastAsia" w:asciiTheme="minorEastAsia" w:hAnsiTheme="minorEastAsia" w:eastAsiaTheme="minorEastAsia"/>
                <w:color w:val="auto"/>
                <w:sz w:val="20"/>
                <w:lang w:eastAsia="zh-CN"/>
              </w:rPr>
              <w:t>重庆市渝北区双凤桥街道翔宇路36号2幢。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pStyle w:val="12"/>
              <w:rPr>
                <w:rFonts w:hint="eastAsia" w:ascii="宋体" w:hAnsi="宋体"/>
                <w:szCs w:val="21"/>
              </w:rPr>
            </w:pPr>
            <w:r>
              <w:rPr>
                <w:rFonts w:hint="eastAsia"/>
                <w:color w:val="auto"/>
                <w:sz w:val="20"/>
                <w:lang w:val="en-US" w:eastAsia="zh-CN"/>
              </w:rPr>
              <w:t>原经营</w:t>
            </w:r>
            <w:r>
              <w:rPr>
                <w:rFonts w:hint="eastAsia"/>
                <w:color w:val="auto"/>
                <w:sz w:val="20"/>
              </w:rPr>
              <w:t>地</w:t>
            </w:r>
            <w:r>
              <w:rPr>
                <w:rFonts w:hint="eastAsia"/>
                <w:color w:val="auto"/>
                <w:sz w:val="20"/>
                <w:lang w:val="en-US" w:eastAsia="zh-CN"/>
              </w:rPr>
              <w:t>为：</w:t>
            </w:r>
            <w:r>
              <w:rPr>
                <w:rFonts w:hint="eastAsia" w:ascii="宋体" w:hAnsi="宋体"/>
                <w:szCs w:val="21"/>
              </w:rPr>
              <w:t>重庆市渝北区回兴街道金锦路27号1号厂房</w:t>
            </w:r>
          </w:p>
          <w:p>
            <w:pPr>
              <w:pStyle w:val="12"/>
            </w:pPr>
            <w:r>
              <w:rPr>
                <w:rFonts w:hint="eastAsia" w:ascii="宋体" w:hAnsi="宋体"/>
                <w:szCs w:val="21"/>
                <w:lang w:val="en-US" w:eastAsia="zh-CN"/>
              </w:rPr>
              <w:t>现</w:t>
            </w:r>
            <w:r>
              <w:rPr>
                <w:rFonts w:hint="eastAsia"/>
                <w:color w:val="auto"/>
                <w:sz w:val="20"/>
                <w:lang w:val="en-US" w:eastAsia="zh-CN"/>
              </w:rPr>
              <w:t>经营</w:t>
            </w:r>
            <w:r>
              <w:rPr>
                <w:rFonts w:hint="eastAsia"/>
                <w:color w:val="auto"/>
                <w:sz w:val="20"/>
              </w:rPr>
              <w:t>地</w:t>
            </w:r>
            <w:r>
              <w:rPr>
                <w:rFonts w:hint="eastAsia"/>
                <w:color w:val="auto"/>
                <w:sz w:val="20"/>
                <w:lang w:val="en-US" w:eastAsia="zh-CN"/>
              </w:rPr>
              <w:t>为</w:t>
            </w:r>
            <w:r>
              <w:rPr>
                <w:rFonts w:hint="eastAsia"/>
                <w:color w:val="auto"/>
                <w:sz w:val="20"/>
                <w:lang w:eastAsia="zh-CN"/>
              </w:rPr>
              <w:t>：</w:t>
            </w:r>
            <w:r>
              <w:rPr>
                <w:rFonts w:hint="eastAsia" w:asciiTheme="minorEastAsia" w:hAnsiTheme="minorEastAsia" w:eastAsiaTheme="minorEastAsia"/>
                <w:color w:val="auto"/>
                <w:sz w:val="20"/>
                <w:lang w:eastAsia="zh-CN"/>
              </w:rPr>
              <w:t>重庆市渝北区双凤桥街道翔宇路36号2幢。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eastAsia="zh-CN"/>
              </w:rPr>
              <w:t>上次不符合发生在</w:t>
            </w:r>
            <w:r>
              <w:rPr>
                <w:rFonts w:hint="eastAsia" w:ascii="Times New Roman" w:hAnsi="Times New Roman" w:eastAsia="宋体" w:cs="Times New Roman"/>
                <w:lang w:val="en-US" w:eastAsia="zh-CN"/>
              </w:rPr>
              <w:t>销售</w:t>
            </w:r>
            <w:r>
              <w:rPr>
                <w:rFonts w:hint="eastAsia" w:ascii="Times New Roman" w:hAnsi="Times New Roman" w:eastAsia="宋体" w:cs="Times New Roman"/>
                <w:lang w:eastAsia="zh-CN"/>
              </w:rPr>
              <w:t>部，涉及</w:t>
            </w:r>
            <w:r>
              <w:rPr>
                <w:rFonts w:hint="eastAsia" w:ascii="Times New Roman" w:hAnsi="Times New Roman" w:eastAsia="宋体" w:cs="Times New Roman"/>
                <w:lang w:val="en-US" w:eastAsia="zh-CN"/>
              </w:rPr>
              <w:t>GB/T 19001:2016 标准8.5.2条款，不符合描述为“</w:t>
            </w:r>
            <w:r>
              <w:rPr>
                <w:rFonts w:hint="eastAsia" w:ascii="Times New Roman" w:hAnsi="Times New Roman" w:eastAsia="宋体" w:cs="Times New Roman"/>
                <w:lang w:eastAsia="zh-CN"/>
              </w:rPr>
              <w:t>查库房产品状态采用：待检、已检、不合格等标识。在库房查见，一批退回的不合格品：电动执行器支架，堆放区域未见不合格品标识</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。经本次审核验证已经实施整改，验证有效。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流体控制设备、仪器仪表、阀门及配件的销售</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流体控制设备、仪器仪表、阀门及配件的销售所涉及场所的相关环境管理活动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在完成纠正措施后推荐保持认证注册(□监督审核</w:t>
            </w:r>
            <w:r>
              <w:rPr>
                <w:rFonts w:hint="eastAsia" w:ascii="宋体" w:hAnsi="宋体" w:eastAsia="宋体" w:cs="宋体"/>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339090</wp:posOffset>
                  </wp:positionH>
                  <wp:positionV relativeFrom="paragraph">
                    <wp:posOffset>7620</wp:posOffset>
                  </wp:positionV>
                  <wp:extent cx="696595" cy="351155"/>
                  <wp:effectExtent l="0" t="0" r="1905" b="4445"/>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6"/>
                          <a:stretch>
                            <a:fillRect/>
                          </a:stretch>
                        </pic:blipFill>
                        <pic:spPr>
                          <a:xfrm>
                            <a:off x="0" y="0"/>
                            <a:ext cx="696595" cy="35115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2022年01月24日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ascii="宋体" w:hAnsi="宋体" w:cs="宋体"/>
                <w:u w:val="single"/>
                <w:lang w:eastAsia="zh-CN"/>
              </w:rPr>
              <w:t>“质量第一、管理至上，以客为尊，持续改进。遵守法规，预防污染，节能降耗，持续改进”。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red"/>
                      <w:lang w:val="en-US" w:eastAsia="zh-CN" w:bidi="ar-SA"/>
                    </w:rPr>
                  </w:pPr>
                  <w:r>
                    <w:rPr>
                      <w:rFonts w:hint="eastAsia" w:ascii="宋体" w:hAnsi="宋体" w:cs="宋体"/>
                      <w:color w:val="000000"/>
                      <w:kern w:val="0"/>
                    </w:rPr>
                    <w:t>销售产品合格率100%；</w:t>
                  </w:r>
                </w:p>
              </w:tc>
              <w:tc>
                <w:tcPr>
                  <w:tcW w:w="3136" w:type="dxa"/>
                  <w:shd w:val="clear" w:color="auto" w:fill="auto"/>
                  <w:vAlign w:val="center"/>
                </w:tcPr>
                <w:p>
                  <w:pPr>
                    <w:spacing w:line="360" w:lineRule="auto"/>
                    <w:rPr>
                      <w:rFonts w:hint="default" w:ascii="Times New Roman" w:hAnsi="Times New Roman" w:eastAsia="宋体" w:cs="Times New Roman"/>
                      <w:color w:val="000000"/>
                      <w:kern w:val="2"/>
                      <w:sz w:val="21"/>
                      <w:szCs w:val="18"/>
                      <w:highlight w:val="red"/>
                      <w:lang w:val="en-GB" w:eastAsia="zh-CN" w:bidi="ar-SA"/>
                    </w:rPr>
                  </w:pPr>
                  <w:r>
                    <w:rPr>
                      <w:rFonts w:hint="eastAsia" w:ascii="宋体" w:hAnsi="宋体" w:cs="宋体"/>
                      <w:color w:val="000000"/>
                      <w:kern w:val="0"/>
                    </w:rPr>
                    <w:t>合格率=合格量÷检验总数量×100%；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销售部</w:t>
                  </w:r>
                </w:p>
              </w:tc>
              <w:tc>
                <w:tcPr>
                  <w:tcW w:w="1774" w:type="dxa"/>
                  <w:shd w:val="clear" w:color="auto" w:fill="auto"/>
                  <w:vAlign w:val="center"/>
                </w:tcPr>
                <w:p>
                  <w:pPr>
                    <w:jc w:val="center"/>
                    <w:rPr>
                      <w:rFonts w:hint="default" w:ascii="Times New Roman" w:hAnsi="Times New Roman" w:eastAsia="宋体" w:cs="Times New Roman"/>
                      <w:color w:val="000000"/>
                      <w:kern w:val="2"/>
                      <w:sz w:val="21"/>
                      <w:szCs w:val="18"/>
                      <w:highlight w:val="red"/>
                      <w:lang w:val="en-US" w:eastAsia="zh-CN" w:bidi="ar-SA"/>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red"/>
                      <w:lang w:val="en-US" w:eastAsia="zh-CN" w:bidi="ar-SA"/>
                    </w:rPr>
                  </w:pPr>
                  <w:r>
                    <w:rPr>
                      <w:rFonts w:hint="eastAsia" w:ascii="宋体" w:hAnsi="宋体" w:cs="宋体"/>
                      <w:kern w:val="0"/>
                    </w:rPr>
                    <w:t>客户满意度</w:t>
                  </w:r>
                  <w:r>
                    <w:rPr>
                      <w:rFonts w:hint="eastAsia"/>
                      <w:sz w:val="24"/>
                    </w:rPr>
                    <w:t>≥</w:t>
                  </w:r>
                  <w:r>
                    <w:rPr>
                      <w:rFonts w:hint="eastAsia" w:ascii="宋体" w:hAnsi="宋体" w:cs="宋体"/>
                      <w:kern w:val="0"/>
                    </w:rPr>
                    <w:t xml:space="preserve">95分 </w:t>
                  </w:r>
                </w:p>
              </w:tc>
              <w:tc>
                <w:tcPr>
                  <w:tcW w:w="3136"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red"/>
                      <w:lang w:val="en-US" w:eastAsia="zh-CN" w:bidi="ar-SA"/>
                    </w:rPr>
                  </w:pPr>
                  <w:r>
                    <w:rPr>
                      <w:rFonts w:hint="eastAsia" w:ascii="宋体" w:hAnsi="宋体" w:cs="宋体"/>
                      <w:kern w:val="0"/>
                    </w:rPr>
                    <w:t>满意率=打分总分数÷调查数量×100%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highlight w:val="none"/>
                      <w:lang w:val="en-US" w:eastAsia="zh-CN"/>
                    </w:rPr>
                    <w:t>销售部</w:t>
                  </w:r>
                </w:p>
              </w:tc>
              <w:tc>
                <w:tcPr>
                  <w:tcW w:w="1774" w:type="dxa"/>
                  <w:shd w:val="clear" w:color="auto" w:fill="auto"/>
                  <w:vAlign w:val="center"/>
                </w:tcPr>
                <w:p>
                  <w:pPr>
                    <w:spacing w:line="360" w:lineRule="auto"/>
                    <w:jc w:val="center"/>
                    <w:rPr>
                      <w:rFonts w:hint="default" w:ascii="Times New Roman" w:hAnsi="Times New Roman" w:eastAsia="宋体" w:cs="Times New Roman"/>
                      <w:color w:val="000000"/>
                      <w:kern w:val="2"/>
                      <w:sz w:val="21"/>
                      <w:szCs w:val="18"/>
                      <w:highlight w:val="red"/>
                      <w:lang w:val="en-US" w:eastAsia="zh-CN" w:bidi="ar-SA"/>
                    </w:rPr>
                  </w:pPr>
                  <w:r>
                    <w:rPr>
                      <w:rFonts w:hint="eastAsia" w:ascii="宋体" w:hAnsi="宋体"/>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red"/>
                      <w:lang w:val="en-US" w:eastAsia="zh-CN" w:bidi="ar-SA"/>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p>
              </w:tc>
              <w:tc>
                <w:tcPr>
                  <w:tcW w:w="3136"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red"/>
                      <w:lang w:val="en-US" w:eastAsia="zh-CN" w:bidi="ar-SA"/>
                    </w:rPr>
                  </w:pPr>
                  <w:r>
                    <w:rPr>
                      <w:rFonts w:hint="eastAsia" w:ascii="宋体" w:hAnsi="宋体" w:cs="宋体"/>
                      <w:color w:val="000000"/>
                      <w:kern w:val="0"/>
                    </w:rPr>
                    <w:t>产品按期交付率=按期交付数量÷需交付总数量</w:t>
                  </w:r>
                  <w:r>
                    <w:rPr>
                      <w:rFonts w:hint="eastAsia" w:ascii="宋体" w:hAnsi="宋体" w:cs="宋体"/>
                      <w:kern w:val="0"/>
                    </w:rPr>
                    <w:t>×100%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red"/>
                      <w:lang w:val="en-US" w:eastAsia="zh-CN" w:bidi="ar-SA"/>
                    </w:rPr>
                  </w:pPr>
                  <w:r>
                    <w:rPr>
                      <w:rFonts w:hint="eastAsia"/>
                      <w:highlight w:val="none"/>
                      <w:lang w:val="en-US" w:eastAsia="zh-CN"/>
                    </w:rPr>
                    <w:t>销售部</w:t>
                  </w:r>
                </w:p>
              </w:tc>
              <w:tc>
                <w:tcPr>
                  <w:tcW w:w="1774" w:type="dxa"/>
                  <w:shd w:val="clear" w:color="auto" w:fill="auto"/>
                  <w:vAlign w:val="center"/>
                </w:tcPr>
                <w:p>
                  <w:pPr>
                    <w:jc w:val="center"/>
                    <w:rPr>
                      <w:rFonts w:hint="default" w:ascii="Times New Roman" w:hAnsi="Times New Roman" w:eastAsia="宋体" w:cs="Times New Roman"/>
                      <w:color w:val="000000"/>
                      <w:kern w:val="2"/>
                      <w:sz w:val="21"/>
                      <w:szCs w:val="18"/>
                      <w:highlight w:val="red"/>
                      <w:lang w:val="en-US" w:eastAsia="zh-CN" w:bidi="ar-SA"/>
                    </w:rPr>
                  </w:pPr>
                  <w:r>
                    <w:rPr>
                      <w:rFonts w:hint="eastAsia" w:ascii="宋体" w:hAnsi="宋体"/>
                      <w:lang w:val="en-US" w:eastAsia="zh-CN"/>
                    </w:rPr>
                    <w:t>99</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red"/>
                    </w:rPr>
                  </w:pPr>
                </w:p>
              </w:tc>
              <w:tc>
                <w:tcPr>
                  <w:tcW w:w="3136" w:type="dxa"/>
                  <w:shd w:val="clear" w:color="auto" w:fill="auto"/>
                  <w:vAlign w:val="center"/>
                </w:tcPr>
                <w:p>
                  <w:pPr>
                    <w:shd w:val="clear" w:color="auto" w:fill="C7DAF1" w:themeFill="text2" w:themeFillTint="32"/>
                    <w:rPr>
                      <w:rFonts w:ascii="宋体" w:hAnsi="宋体"/>
                      <w:highlight w:val="red"/>
                    </w:rPr>
                  </w:pPr>
                </w:p>
              </w:tc>
              <w:tc>
                <w:tcPr>
                  <w:tcW w:w="1350" w:type="dxa"/>
                  <w:shd w:val="clear" w:color="auto" w:fill="auto"/>
                  <w:vAlign w:val="center"/>
                </w:tcPr>
                <w:p>
                  <w:pPr>
                    <w:shd w:val="clear" w:color="auto" w:fill="C7DAF1" w:themeFill="text2" w:themeFillTint="32"/>
                    <w:rPr>
                      <w:rFonts w:ascii="宋体" w:hAnsi="宋体"/>
                      <w:highlight w:val="red"/>
                    </w:rPr>
                  </w:pPr>
                </w:p>
              </w:tc>
              <w:tc>
                <w:tcPr>
                  <w:tcW w:w="1774" w:type="dxa"/>
                  <w:shd w:val="clear" w:color="auto" w:fill="auto"/>
                  <w:vAlign w:val="center"/>
                </w:tcPr>
                <w:p>
                  <w:pPr>
                    <w:shd w:val="clear" w:color="auto" w:fill="C7DAF1" w:themeFill="text2" w:themeFillTint="32"/>
                    <w:jc w:val="center"/>
                    <w:rPr>
                      <w:rFonts w:ascii="宋体" w:hAnsi="宋体"/>
                      <w:highlight w:val="red"/>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lang w:val="en-US" w:eastAsia="zh-CN"/>
              </w:rPr>
              <w:t>办公</w:t>
            </w:r>
            <w:r>
              <w:rPr>
                <w:rFonts w:hint="eastAsia"/>
                <w:highlight w:val="none"/>
              </w:rPr>
              <w:t>面积</w:t>
            </w:r>
            <w:r>
              <w:rPr>
                <w:rFonts w:hint="eastAsia"/>
                <w:highlight w:val="none"/>
                <w:u w:val="single"/>
              </w:rPr>
              <w:t xml:space="preserve"> </w:t>
            </w:r>
            <w:r>
              <w:rPr>
                <w:rFonts w:hint="eastAsia"/>
                <w:highlight w:val="none"/>
                <w:u w:val="single"/>
                <w:lang w:val="en-US" w:eastAsia="zh-CN"/>
              </w:rPr>
              <w:t>260多平方米</w:t>
            </w:r>
            <w:r>
              <w:rPr>
                <w:rFonts w:hint="eastAsia"/>
                <w:highlight w:val="none"/>
              </w:rPr>
              <w:t>；生产车间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1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ascii="宋体" w:hAnsi="宋体" w:cs="宋体"/>
                <w:kern w:val="0"/>
                <w:sz w:val="21"/>
                <w:szCs w:val="21"/>
                <w:highlight w:val="none"/>
                <w:u w:val="single"/>
                <w:lang w:eastAsia="zh-CN"/>
              </w:rPr>
              <w:t>办公设施电脑、打印机、办公耗材、</w:t>
            </w:r>
            <w:r>
              <w:rPr>
                <w:rFonts w:hint="eastAsia" w:ascii="宋体" w:hAnsi="宋体" w:cs="宋体"/>
                <w:kern w:val="0"/>
                <w:sz w:val="21"/>
                <w:szCs w:val="21"/>
                <w:highlight w:val="none"/>
                <w:u w:val="single"/>
                <w:lang w:val="en-US" w:eastAsia="zh-CN"/>
              </w:rPr>
              <w:t>液压叉车</w:t>
            </w:r>
            <w:r>
              <w:rPr>
                <w:rFonts w:hint="eastAsia" w:ascii="宋体" w:hAnsi="宋体" w:cs="宋体"/>
                <w:kern w:val="0"/>
                <w:sz w:val="21"/>
                <w:szCs w:val="21"/>
                <w:highlight w:val="none"/>
                <w:u w:val="single"/>
                <w:lang w:eastAsia="zh-CN"/>
              </w:rPr>
              <w:t>等。</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u w:val="single"/>
              </w:rPr>
            </w:pPr>
            <w:r>
              <w:rPr>
                <w:rFonts w:hint="eastAsia"/>
                <w:lang w:eastAsia="zh-CN"/>
              </w:rPr>
              <w:t>■</w:t>
            </w:r>
            <w:r>
              <w:rPr>
                <w:rFonts w:hint="eastAsia"/>
              </w:rPr>
              <w:t>法律法规获取充分，□法律法规获取有遗漏，缺少：</w:t>
            </w:r>
            <w:r>
              <w:rPr>
                <w:rFonts w:hint="eastAsia"/>
                <w:u w:val="single"/>
              </w:rPr>
              <w:t xml:space="preserve">                           </w:t>
            </w:r>
          </w:p>
          <w:p>
            <w:pPr>
              <w:pStyle w:val="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rFonts w:hint="eastAsia" w:eastAsia="宋体"/>
                      <w:lang w:eastAsia="zh-CN"/>
                    </w:rPr>
                  </w:pPr>
                  <w:r>
                    <w:rPr>
                      <w:rFonts w:hint="eastAsia"/>
                      <w:sz w:val="20"/>
                      <w:lang w:eastAsia="zh-CN"/>
                    </w:rPr>
                    <w:t>流体控制设备、仪器仪表、阀门及配件的销售(阀门、钢管、管件)的销售</w:t>
                  </w:r>
                </w:p>
              </w:tc>
              <w:tc>
                <w:tcPr>
                  <w:tcW w:w="2303"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eastAsia" w:eastAsiaTheme="minorEastAsia"/>
                      <w:lang w:val="en-US" w:eastAsia="zh-CN"/>
                    </w:rPr>
                  </w:pPr>
                  <w:r>
                    <w:rPr>
                      <w:rFonts w:hint="eastAsia" w:eastAsia="宋体"/>
                      <w:color w:val="auto"/>
                      <w:sz w:val="21"/>
                      <w:szCs w:val="21"/>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宋体" w:hAnsi="宋体" w:eastAsia="宋体" w:cs="宋体"/>
                <w:lang w:eastAsia="zh-CN"/>
              </w:rPr>
              <w:t>■</w:t>
            </w:r>
            <w:r>
              <w:rPr>
                <w:rFonts w:hint="eastAsia"/>
              </w:rPr>
              <w:t>存在不足，说明</w:t>
            </w:r>
            <w:r>
              <w:rPr>
                <w:rFonts w:hint="eastAsia"/>
                <w:u w:val="single"/>
              </w:rPr>
              <w:t xml:space="preserve"> </w:t>
            </w:r>
            <w:r>
              <w:rPr>
                <w:rFonts w:hint="eastAsia"/>
                <w:u w:val="single"/>
                <w:lang w:val="en-US" w:eastAsia="zh-CN"/>
              </w:rPr>
              <w:t>未做年度确认</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宋体" w:hAnsi="宋体" w:eastAsia="宋体" w:cs="宋体"/>
                <w:lang w:eastAsia="zh-CN"/>
              </w:rPr>
              <w:t>■</w:t>
            </w:r>
            <w:r>
              <w:rPr>
                <w:rFonts w:hint="eastAsia"/>
              </w:rPr>
              <w:t>存在不足，说明</w:t>
            </w:r>
            <w:r>
              <w:rPr>
                <w:rFonts w:hint="eastAsia"/>
                <w:u w:val="single"/>
              </w:rPr>
              <w:t xml:space="preserve"> </w:t>
            </w:r>
            <w:r>
              <w:rPr>
                <w:rFonts w:hint="eastAsia"/>
                <w:u w:val="single"/>
                <w:lang w:val="en-US" w:eastAsia="zh-CN"/>
              </w:rPr>
              <w:t xml:space="preserve"> 需确认的过程未做年度确认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lang w:val="en-US" w:eastAsia="zh-CN"/>
              </w:rPr>
              <w:t>2021年11月20日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s="Times New Roman"/>
                <w:color w:val="000000"/>
                <w:szCs w:val="18"/>
                <w:u w:val="single"/>
                <w:lang w:eastAsia="zh-CN"/>
              </w:rPr>
              <w:t>2021年11月30日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组织针对质量管理体系运行中的不符合采取了有效纠正和纠正措施。针对下列方面采取了纠正措施：</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 xml:space="preserve">不合格产品/服务 </w:t>
            </w:r>
            <w:r>
              <w:rPr>
                <w:rFonts w:hint="eastAsia" w:ascii="Wingdings" w:hAnsi="Wingdings"/>
                <w:highlight w:val="none"/>
                <w:lang w:eastAsia="zh-CN"/>
              </w:rPr>
              <w:t>□</w:t>
            </w:r>
            <w:r>
              <w:rPr>
                <w:rFonts w:hint="eastAsia"/>
                <w:highlight w:val="none"/>
              </w:rPr>
              <w:t xml:space="preserve">自我验证的结果  </w:t>
            </w:r>
            <w:r>
              <w:rPr>
                <w:rFonts w:hint="eastAsia" w:ascii="Wingdings" w:hAnsi="Wingdings"/>
                <w:highlight w:val="none"/>
                <w:lang w:eastAsia="zh-CN"/>
              </w:rPr>
              <w:t>■</w:t>
            </w:r>
            <w:r>
              <w:rPr>
                <w:rFonts w:hint="eastAsia"/>
                <w:highlight w:val="none"/>
              </w:rPr>
              <w:t xml:space="preserve">顾客投诉  </w:t>
            </w:r>
            <w:r>
              <w:rPr>
                <w:rFonts w:hint="eastAsia" w:ascii="Wingdings" w:hAnsi="Wingdings"/>
                <w:highlight w:val="none"/>
                <w:lang w:eastAsia="zh-CN"/>
              </w:rPr>
              <w:t>■</w:t>
            </w:r>
            <w:r>
              <w:rPr>
                <w:rFonts w:hint="eastAsia"/>
                <w:highlight w:val="none"/>
              </w:rPr>
              <w:t xml:space="preserve">顾客满意调查 </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 xml:space="preserve">内审不符合项   </w:t>
            </w:r>
            <w:r>
              <w:rPr>
                <w:rFonts w:hint="eastAsia" w:ascii="宋体" w:hAnsi="宋体" w:eastAsia="宋体" w:cs="宋体"/>
                <w:highlight w:val="none"/>
                <w:lang w:eastAsia="zh-CN"/>
              </w:rPr>
              <w:t>■</w:t>
            </w:r>
            <w:r>
              <w:rPr>
                <w:rFonts w:hint="eastAsia"/>
                <w:highlight w:val="none"/>
              </w:rPr>
              <w:t xml:space="preserve">外审不符合项  </w:t>
            </w:r>
            <w:r>
              <w:rPr>
                <w:rFonts w:hint="eastAsia" w:ascii="Wingdings" w:hAnsi="Wingdings"/>
                <w:highlight w:val="none"/>
                <w:lang w:eastAsia="zh-CN"/>
              </w:rPr>
              <w:t>■</w:t>
            </w:r>
            <w:r>
              <w:rPr>
                <w:rFonts w:hint="eastAsia"/>
                <w:highlight w:val="none"/>
              </w:rPr>
              <w:t xml:space="preserve">管理评审   </w:t>
            </w:r>
            <w:r>
              <w:rPr>
                <w:rFonts w:hint="eastAsia" w:ascii="Wingdings" w:hAnsi="Wingdings"/>
                <w:highlight w:val="none"/>
                <w:lang w:eastAsia="zh-CN"/>
              </w:rPr>
              <w:t>□</w:t>
            </w:r>
            <w:r>
              <w:rPr>
                <w:rFonts w:hint="eastAsia"/>
                <w:highlight w:val="none"/>
              </w:rPr>
              <w:t xml:space="preserve">目标统计分析结果   </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组织持续改进了质量管理体系的适宜性、充分性和有效性。 </w:t>
            </w:r>
          </w:p>
          <w:p>
            <w:pPr>
              <w:shd w:val="clear" w:color="auto" w:fill="C7DAF1" w:themeFill="text2" w:themeFillTint="32"/>
              <w:rPr>
                <w:highlight w:val="none"/>
              </w:rPr>
            </w:pPr>
            <w:r>
              <w:rPr>
                <w:rFonts w:hint="eastAsia"/>
                <w:highlight w:val="none"/>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 xml:space="preserve">附件 </w:t>
      </w:r>
      <w:r>
        <w:rPr>
          <w:rFonts w:hint="eastAsia" w:ascii="宋体" w:hAnsi="宋体" w:eastAsia="宋体" w:cs="宋体"/>
        </w:rPr>
        <w:t>■</w:t>
      </w:r>
      <w:r>
        <w:t>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ascii="Wingdings" w:hAnsi="Wingdings"/>
                <w:lang w:eastAsia="zh-CN"/>
              </w:rPr>
              <w:t>□</w:t>
            </w:r>
            <w:r>
              <w:rPr>
                <w:rFonts w:hint="eastAsia"/>
              </w:rPr>
              <w:t xml:space="preserve">生产 </w:t>
            </w:r>
            <w:r>
              <w:rPr>
                <w:rFonts w:hint="eastAsia" w:ascii="Wingdings" w:hAnsi="Wingdings"/>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ascii="Wingdings" w:hAnsi="Wingdings"/>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宋体" w:hAnsi="宋体" w:cs="宋体"/>
                <w:u w:val="single"/>
                <w:lang w:eastAsia="zh-CN"/>
              </w:rPr>
              <w:t>“质量第一、管理至上，以客为尊，持续改进。遵守法规，预防污染，节能降耗，持续改进”。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竞争风险</w:t>
                  </w:r>
                </w:p>
              </w:tc>
              <w:tc>
                <w:tcPr>
                  <w:tcW w:w="3965"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及时关注公司产品市场的情况，收集信息及时调整，保持公司产品的竞争力</w:t>
                  </w: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人力资源风险</w:t>
                  </w:r>
                </w:p>
              </w:tc>
              <w:tc>
                <w:tcPr>
                  <w:tcW w:w="3965"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各部门应及时关注员工的心态变化，注意工作方式，创造良好的工作环境，提高员工的归属感</w:t>
                  </w: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eastAsia="zh-CN"/>
                    </w:rPr>
                    <w:t>固体废弃物100%合规处理</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办公室</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cs="Times New Roman"/>
                <w:highlight w:val="none"/>
                <w:lang w:val="en-US" w:eastAsia="zh-CN"/>
              </w:rPr>
              <w:t>办公</w:t>
            </w:r>
            <w:r>
              <w:rPr>
                <w:rFonts w:hint="eastAsia" w:ascii="Times New Roman" w:hAnsi="Times New Roman" w:eastAsia="宋体" w:cs="Times New Roman"/>
                <w:highlight w:val="none"/>
              </w:rPr>
              <w:t xml:space="preserve">面积 </w:t>
            </w:r>
            <w:r>
              <w:rPr>
                <w:rFonts w:hint="eastAsia" w:cs="Times New Roman"/>
                <w:highlight w:val="none"/>
                <w:lang w:val="en-US" w:eastAsia="zh-CN"/>
              </w:rPr>
              <w:t>260多</w:t>
            </w:r>
            <w:r>
              <w:rPr>
                <w:rFonts w:hint="eastAsia" w:ascii="Times New Roman" w:hAnsi="Times New Roman" w:eastAsia="宋体" w:cs="Times New Roman"/>
                <w:highlight w:val="none"/>
                <w:lang w:val="en-US" w:eastAsia="zh-CN"/>
              </w:rPr>
              <w:t>平方米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 xml:space="preserve"> </w:t>
            </w:r>
            <w:r>
              <w:rPr>
                <w:rFonts w:hint="eastAsia" w:cs="Times New Roman"/>
                <w:highlight w:val="none"/>
                <w:u w:val="single"/>
                <w:lang w:val="en-US" w:eastAsia="zh-CN"/>
              </w:rPr>
              <w:t>1</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办公设施电脑、打印机、办公耗材、液压叉车等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lang w:eastAsia="zh-CN"/>
              </w:rPr>
            </w:pPr>
            <w:r>
              <w:rPr>
                <w:rFonts w:hint="eastAsia"/>
              </w:rPr>
              <w:t>要环保设备有：</w:t>
            </w:r>
            <w:r>
              <w:rPr>
                <w:rFonts w:hint="eastAsia"/>
                <w:u w:val="single"/>
              </w:rPr>
              <w:t>（列举2~4种）</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固废排放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2021年10月10日进行了火灾演练</w:t>
            </w:r>
            <w:r>
              <w:rPr>
                <w:rFonts w:hint="eastAsia"/>
                <w:highlight w:val="none"/>
              </w:rPr>
              <w:t>；并总结了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rPr>
                <w:highlight w:val="none"/>
              </w:rPr>
            </w:pPr>
            <w:r>
              <w:rPr>
                <w:rFonts w:hint="eastAsia"/>
              </w:rPr>
              <w:t>组织已分析和评价</w:t>
            </w:r>
            <w:r>
              <w:rPr>
                <w:rFonts w:hint="eastAsia"/>
                <w:highlight w:val="none"/>
              </w:rPr>
              <w:t>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2021年10月30日</w:t>
            </w:r>
          </w:p>
          <w:p>
            <w:pPr>
              <w:shd w:val="clear" w:color="auto" w:fill="EBF1DE" w:themeFill="accent3" w:themeFillTint="32"/>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u w:val="single"/>
                <w:lang w:val="en-US" w:eastAsia="zh-CN"/>
              </w:rPr>
              <w:t>2021年11月20日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s="Times New Roman"/>
                <w:color w:val="000000"/>
                <w:szCs w:val="18"/>
                <w:u w:val="single"/>
                <w:lang w:eastAsia="zh-CN"/>
              </w:rPr>
              <w:t>2021年11月30日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组织针对环境管理体系运行中的不符合采取了有效纠正和纠正措施。针对下列方面采取了纠正措施：</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不合格产品/服务 </w:t>
            </w:r>
            <w:r>
              <w:rPr>
                <w:rFonts w:hint="eastAsia" w:eastAsia="宋体"/>
                <w:highlight w:val="none"/>
                <w:lang w:eastAsia="zh-CN"/>
              </w:rPr>
              <w:t>□</w:t>
            </w:r>
            <w:r>
              <w:rPr>
                <w:rFonts w:hint="eastAsia" w:eastAsia="宋体"/>
                <w:highlight w:val="none"/>
              </w:rPr>
              <w:t xml:space="preserve">自我验证的结果  </w:t>
            </w:r>
            <w:r>
              <w:rPr>
                <w:rFonts w:hint="eastAsia" w:eastAsia="宋体"/>
                <w:highlight w:val="none"/>
                <w:lang w:eastAsia="zh-CN"/>
              </w:rPr>
              <w:t>■</w:t>
            </w:r>
            <w:r>
              <w:rPr>
                <w:rFonts w:hint="eastAsia" w:eastAsia="宋体"/>
                <w:highlight w:val="none"/>
              </w:rPr>
              <w:t xml:space="preserve">顾客投诉  </w:t>
            </w:r>
            <w:r>
              <w:rPr>
                <w:rFonts w:hint="eastAsia" w:eastAsia="宋体"/>
                <w:highlight w:val="none"/>
                <w:lang w:eastAsia="zh-CN"/>
              </w:rPr>
              <w:t>■</w:t>
            </w:r>
            <w:r>
              <w:rPr>
                <w:rFonts w:hint="eastAsia" w:eastAsia="宋体"/>
                <w:highlight w:val="none"/>
              </w:rPr>
              <w:t xml:space="preserve">顾客满意调查 </w:t>
            </w:r>
          </w:p>
          <w:p>
            <w:pPr>
              <w:shd w:val="clear" w:color="auto" w:fill="EBF1DE" w:themeFill="accent3" w:themeFillTint="32"/>
              <w:rPr>
                <w:highlight w:val="none"/>
              </w:rPr>
            </w:pPr>
            <w:r>
              <w:rPr>
                <w:rFonts w:hint="eastAsia" w:eastAsia="宋体"/>
                <w:highlight w:val="none"/>
                <w:lang w:eastAsia="zh-CN"/>
              </w:rPr>
              <w:t>■</w:t>
            </w:r>
            <w:r>
              <w:rPr>
                <w:rFonts w:hint="eastAsia" w:eastAsia="宋体"/>
                <w:highlight w:val="none"/>
              </w:rPr>
              <w:t xml:space="preserve">内审不符合项   </w:t>
            </w:r>
            <w:r>
              <w:rPr>
                <w:rFonts w:hint="eastAsia" w:ascii="宋体" w:hAnsi="宋体" w:eastAsia="宋体" w:cs="宋体"/>
                <w:highlight w:val="none"/>
                <w:lang w:eastAsia="zh-CN"/>
              </w:rPr>
              <w:t>■</w:t>
            </w:r>
            <w:bookmarkStart w:id="34" w:name="_GoBack"/>
            <w:bookmarkEnd w:id="34"/>
            <w:r>
              <w:rPr>
                <w:rFonts w:hint="eastAsia" w:eastAsia="宋体"/>
                <w:highlight w:val="none"/>
              </w:rPr>
              <w:t xml:space="preserve">外审不符合项  </w:t>
            </w:r>
            <w:r>
              <w:rPr>
                <w:rFonts w:hint="eastAsia" w:eastAsia="宋体"/>
                <w:highlight w:val="none"/>
                <w:lang w:eastAsia="zh-CN"/>
              </w:rPr>
              <w:t>■</w:t>
            </w:r>
            <w:r>
              <w:rPr>
                <w:rFonts w:hint="eastAsia" w:eastAsia="宋体"/>
                <w:highlight w:val="none"/>
              </w:rPr>
              <w:t xml:space="preserve">管理评审   </w:t>
            </w:r>
            <w:r>
              <w:rPr>
                <w:rFonts w:hint="eastAsia" w:ascii="宋体" w:hAnsi="宋体" w:eastAsia="宋体" w:cs="宋体"/>
                <w:highlight w:val="none"/>
                <w:lang w:eastAsia="zh-CN"/>
              </w:rPr>
              <w:t>■</w:t>
            </w:r>
            <w:r>
              <w:rPr>
                <w:rFonts w:hint="eastAsia" w:eastAsia="宋体"/>
                <w:highlight w:val="none"/>
              </w:rPr>
              <w:t xml:space="preserve">目标统计分析结果   </w:t>
            </w:r>
            <w:r>
              <w:rPr>
                <w:rFonts w:hint="eastAsia" w:eastAsia="宋体"/>
                <w:highlight w:val="none"/>
                <w:lang w:eastAsia="zh-CN"/>
              </w:rPr>
              <w:t>□</w:t>
            </w:r>
            <w:r>
              <w:rPr>
                <w:rFonts w:hint="eastAsia" w:eastAsia="宋体"/>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34C1366"/>
    <w:rsid w:val="360A6882"/>
    <w:rsid w:val="5946245F"/>
    <w:rsid w:val="63E44154"/>
    <w:rsid w:val="79601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2022-01-24T07:52:26Z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