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西安石油大佳润实业有限公司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0005-2020-2022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0005-2020-2022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638"/>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西安石油大佳润实业有限公司</w:t>
            </w:r>
            <w:bookmarkEnd w:id="4"/>
          </w:p>
        </w:tc>
        <w:tc>
          <w:tcPr>
            <w:tcW w:w="163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61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王军强</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ISC-2020-0629</w:t>
            </w:r>
            <w:bookmarkEnd w:id="6"/>
          </w:p>
        </w:tc>
        <w:tc>
          <w:tcPr>
            <w:tcW w:w="163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61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2025-01-14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bookmarkStart w:id="8" w:name="监督次数"/>
            <w:r>
              <w:rPr>
                <w:rFonts w:hint="eastAsia" w:cs="宋体" w:asciiTheme="minorEastAsia" w:hAnsiTheme="minorEastAsia"/>
                <w:kern w:val="0"/>
                <w:szCs w:val="21"/>
                <w:lang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eastAsia="zh-CN"/>
              </w:rPr>
              <w:t>次监督</w:t>
            </w:r>
          </w:p>
        </w:tc>
        <w:tc>
          <w:tcPr>
            <w:tcW w:w="163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614"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2022年01月23日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李俐</w:t>
            </w:r>
            <w:r>
              <w:rPr>
                <w:rFonts w:hint="eastAsia" w:ascii="宋体" w:hAnsi="宋体"/>
                <w:szCs w:val="21"/>
                <w:lang w:eastAsia="zh-CN"/>
              </w:rPr>
              <w:t xml:space="preserve">  </w:t>
            </w:r>
            <w:r>
              <w:rPr>
                <w:rFonts w:ascii="宋体" w:hAnsi="宋体"/>
                <w:szCs w:val="21"/>
              </w:rPr>
              <w:t>2021-M1MMS-2222792</w:t>
            </w:r>
          </w:p>
        </w:tc>
        <w:tc>
          <w:tcPr>
            <w:tcW w:w="163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614" w:type="dxa"/>
          </w:tcPr>
          <w:p>
            <w:pPr>
              <w:tabs>
                <w:tab w:val="left" w:pos="840"/>
              </w:tabs>
              <w:spacing w:before="17" w:line="360" w:lineRule="auto"/>
              <w:ind w:right="-20"/>
              <w:rPr>
                <w:rFonts w:cs="宋体" w:asciiTheme="minorEastAsia" w:hAnsiTheme="minorEastAsia"/>
                <w:kern w:val="0"/>
                <w:szCs w:val="21"/>
              </w:rPr>
            </w:pPr>
            <w:r>
              <w:rPr>
                <w:rFonts w:hint="eastAsia" w:ascii="宋体" w:hAnsi="宋体" w:eastAsia="宋体" w:cs="宋体"/>
                <w:szCs w:val="21"/>
                <w:lang w:val="en-US" w:eastAsia="zh-CN"/>
              </w:rPr>
              <w:t>办公室、技术</w:t>
            </w:r>
            <w:r>
              <w:rPr>
                <w:rFonts w:hint="eastAsia" w:ascii="宋体" w:hAnsi="宋体" w:eastAsia="宋体" w:cs="宋体"/>
                <w:szCs w:val="21"/>
              </w:rPr>
              <w:t>质量部</w:t>
            </w:r>
            <w:r>
              <w:rPr>
                <w:rFonts w:hint="eastAsia" w:ascii="宋体" w:hAnsi="宋体" w:eastAsia="宋体" w:cs="宋体"/>
                <w:szCs w:val="21"/>
                <w:lang w:eastAsia="zh-CN"/>
              </w:rPr>
              <w:t>、</w:t>
            </w:r>
            <w:r>
              <w:rPr>
                <w:rFonts w:hint="eastAsia" w:ascii="宋体" w:hAnsi="宋体" w:eastAsia="宋体" w:cs="宋体"/>
                <w:szCs w:val="21"/>
                <w:lang w:val="en-US" w:eastAsia="zh-CN"/>
              </w:rPr>
              <w:t>市场</w:t>
            </w:r>
            <w:r>
              <w:rPr>
                <w:rFonts w:hint="eastAsia" w:ascii="宋体" w:hAnsi="宋体" w:eastAsia="宋体" w:cs="宋体"/>
                <w:szCs w:val="21"/>
              </w:rPr>
              <w:t>部</w:t>
            </w:r>
            <w:r>
              <w:rPr>
                <w:rFonts w:hint="eastAsia" w:ascii="宋体" w:hAnsi="宋体" w:eastAsia="宋体" w:cs="宋体"/>
                <w:szCs w:val="21"/>
                <w:lang w:eastAsia="zh-CN"/>
              </w:rPr>
              <w:t>、</w:t>
            </w:r>
            <w:r>
              <w:rPr>
                <w:rFonts w:hint="eastAsia" w:ascii="宋体" w:hAnsi="宋体" w:eastAsia="宋体" w:cs="宋体"/>
                <w:szCs w:val="21"/>
              </w:rPr>
              <w:t>生产部</w:t>
            </w:r>
            <w:r>
              <w:rPr>
                <w:rFonts w:hint="eastAsia" w:ascii="宋体" w:hAnsi="宋体" w:eastAsia="宋体" w:cs="宋体"/>
                <w:szCs w:val="21"/>
                <w:lang w:eastAsia="zh-CN"/>
              </w:rPr>
              <w:t>（陕西省渭南市大荔县经济技术开发区）</w:t>
            </w:r>
          </w:p>
        </w:tc>
      </w:tr>
    </w:tbl>
    <w:p>
      <w:pPr>
        <w:widowControl/>
        <w:spacing w:line="360" w:lineRule="auto"/>
        <w:rPr>
          <w:rFonts w:cs="宋体" w:asciiTheme="minorEastAsia" w:hAnsiTheme="minorEastAsia"/>
          <w:color w:val="auto"/>
          <w:kern w:val="0"/>
          <w:szCs w:val="21"/>
        </w:rPr>
      </w:pPr>
      <w:r>
        <w:rPr>
          <w:rFonts w:hint="eastAsia" w:cs="宋体" w:asciiTheme="minorEastAsia" w:hAnsiTheme="minorEastAsia"/>
          <w:b/>
          <w:bCs/>
          <w:color w:val="auto"/>
          <w:kern w:val="0"/>
          <w:szCs w:val="21"/>
        </w:rPr>
        <w:t>二、</w:t>
      </w:r>
      <w:r>
        <w:rPr>
          <w:rFonts w:cs="宋体" w:asciiTheme="minorEastAsia" w:hAnsiTheme="minorEastAsia"/>
          <w:b/>
          <w:bCs/>
          <w:color w:val="auto"/>
          <w:kern w:val="0"/>
          <w:szCs w:val="21"/>
        </w:rPr>
        <w:t>监督审核</w:t>
      </w:r>
      <w:r>
        <w:rPr>
          <w:rFonts w:hint="eastAsia" w:cs="宋体" w:asciiTheme="minorEastAsia" w:hAnsiTheme="minorEastAsia"/>
          <w:b/>
          <w:bCs/>
          <w:color w:val="auto"/>
          <w:kern w:val="0"/>
          <w:szCs w:val="21"/>
        </w:rPr>
        <w:t>内容</w:t>
      </w:r>
      <w:r>
        <w:rPr>
          <w:rFonts w:hint="eastAsia" w:cs="宋体" w:asciiTheme="minorEastAsia" w:hAnsiTheme="minorEastAsia"/>
          <w:bCs/>
          <w:color w:val="auto"/>
          <w:kern w:val="0"/>
          <w:szCs w:val="21"/>
        </w:rPr>
        <w:t>：</w:t>
      </w: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1.</w:t>
      </w:r>
      <w:r>
        <w:rPr>
          <w:rFonts w:cs="宋体" w:asciiTheme="minorEastAsia" w:hAnsiTheme="minorEastAsia"/>
          <w:bCs/>
          <w:color w:val="auto"/>
          <w:kern w:val="0"/>
          <w:szCs w:val="21"/>
        </w:rPr>
        <w:t>一年内违反法律法规</w:t>
      </w:r>
      <w:r>
        <w:rPr>
          <w:rFonts w:hint="eastAsia" w:cs="宋体" w:asciiTheme="minorEastAsia" w:hAnsiTheme="minorEastAsia"/>
          <w:bCs/>
          <w:color w:val="auto"/>
          <w:kern w:val="0"/>
          <w:szCs w:val="21"/>
        </w:rPr>
        <w:t>或</w:t>
      </w:r>
      <w:r>
        <w:rPr>
          <w:rFonts w:cs="宋体" w:asciiTheme="minorEastAsia" w:hAnsiTheme="minorEastAsia"/>
          <w:bCs/>
          <w:color w:val="auto"/>
          <w:kern w:val="0"/>
          <w:szCs w:val="21"/>
        </w:rPr>
        <w:t>重大事故的情况：</w:t>
      </w:r>
    </w:p>
    <w:p>
      <w:pPr>
        <w:spacing w:line="360" w:lineRule="auto"/>
        <w:ind w:firstLine="420" w:firstLineChars="200"/>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eastAsia="zh-CN"/>
        </w:rPr>
        <w:t>21</w:t>
      </w:r>
      <w:r>
        <w:rPr>
          <w:rFonts w:hint="eastAsia" w:ascii="宋体" w:hAnsi="宋体" w:cs="宋体"/>
          <w:bCs/>
          <w:color w:val="auto"/>
          <w:kern w:val="0"/>
          <w:szCs w:val="21"/>
        </w:rPr>
        <w:t>年</w:t>
      </w:r>
      <w:r>
        <w:rPr>
          <w:rFonts w:hint="eastAsia" w:ascii="宋体" w:hAnsi="宋体" w:cs="宋体"/>
          <w:bCs/>
          <w:color w:val="auto"/>
          <w:kern w:val="0"/>
          <w:szCs w:val="21"/>
          <w:lang w:eastAsia="zh-CN"/>
        </w:rPr>
        <w:t>1</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spacing w:line="360" w:lineRule="auto"/>
        <w:rPr>
          <w:rStyle w:val="10"/>
          <w:rFonts w:ascii="宋体" w:eastAsia="宋体"/>
          <w:color w:val="auto"/>
          <w:sz w:val="21"/>
          <w:szCs w:val="21"/>
        </w:rPr>
      </w:pPr>
      <w:r>
        <w:rPr>
          <w:rStyle w:val="10"/>
          <w:rFonts w:hint="eastAsia" w:ascii="宋体" w:eastAsia="宋体"/>
          <w:color w:val="auto"/>
          <w:sz w:val="21"/>
          <w:szCs w:val="21"/>
        </w:rPr>
        <w:t>2.1内审情况：</w:t>
      </w:r>
      <w:r>
        <w:rPr>
          <w:rFonts w:hint="eastAsia" w:ascii="宋体" w:hAnsi="宋体"/>
          <w:bCs/>
          <w:color w:val="auto"/>
          <w:szCs w:val="21"/>
        </w:rPr>
        <w:t>公司于2021年12月7日-8日组织了公司</w:t>
      </w:r>
      <w:r>
        <w:rPr>
          <w:rFonts w:ascii="宋体" w:hAnsi="宋体"/>
          <w:bCs/>
          <w:color w:val="auto"/>
          <w:szCs w:val="21"/>
        </w:rPr>
        <w:t>测量管理体系，</w:t>
      </w:r>
      <w:r>
        <w:rPr>
          <w:rFonts w:hint="eastAsia" w:ascii="宋体" w:hAnsi="宋体"/>
          <w:bCs/>
          <w:color w:val="auto"/>
          <w:szCs w:val="21"/>
        </w:rPr>
        <w:t>内审分</w:t>
      </w:r>
      <w:r>
        <w:rPr>
          <w:rFonts w:hint="eastAsia" w:ascii="宋体" w:hAnsi="宋体"/>
          <w:bCs/>
          <w:color w:val="auto"/>
          <w:szCs w:val="21"/>
          <w:lang w:eastAsia="zh-CN"/>
        </w:rPr>
        <w:t>2</w:t>
      </w:r>
      <w:r>
        <w:rPr>
          <w:rFonts w:hint="eastAsia" w:ascii="宋体" w:hAnsi="宋体"/>
          <w:bCs/>
          <w:color w:val="auto"/>
          <w:szCs w:val="21"/>
        </w:rPr>
        <w:t>个组，对公司</w:t>
      </w:r>
      <w:r>
        <w:rPr>
          <w:rFonts w:hint="eastAsia" w:ascii="宋体" w:hAnsi="宋体"/>
          <w:bCs/>
          <w:color w:val="auto"/>
          <w:szCs w:val="21"/>
          <w:lang w:eastAsia="zh-CN"/>
        </w:rPr>
        <w:t>5</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eastAsia="zh-CN"/>
        </w:rPr>
        <w:t>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eastAsia="zh-CN"/>
        </w:rPr>
        <w:t>12</w:t>
      </w:r>
      <w:r>
        <w:rPr>
          <w:rFonts w:hint="eastAsia" w:ascii="宋体" w:hAnsi="宋体"/>
          <w:bCs/>
          <w:color w:val="auto"/>
          <w:szCs w:val="21"/>
        </w:rPr>
        <w:t>月</w:t>
      </w:r>
      <w:r>
        <w:rPr>
          <w:rFonts w:hint="eastAsia" w:ascii="宋体" w:hAnsi="宋体"/>
          <w:bCs/>
          <w:color w:val="auto"/>
          <w:szCs w:val="21"/>
          <w:lang w:eastAsia="zh-CN"/>
        </w:rPr>
        <w:t>9</w:t>
      </w:r>
      <w:r>
        <w:rPr>
          <w:rFonts w:hint="eastAsia" w:ascii="宋体" w:hAnsi="宋体"/>
          <w:bCs/>
          <w:color w:val="auto"/>
          <w:szCs w:val="21"/>
        </w:rPr>
        <w:t>日完成整改。</w:t>
      </w:r>
    </w:p>
    <w:p>
      <w:pPr>
        <w:spacing w:line="360" w:lineRule="auto"/>
        <w:rPr>
          <w:rStyle w:val="10"/>
          <w:rFonts w:ascii="宋体" w:eastAsia="宋体"/>
          <w:color w:val="auto"/>
          <w:sz w:val="21"/>
          <w:szCs w:val="21"/>
        </w:rPr>
      </w:pPr>
      <w:r>
        <w:rPr>
          <w:rStyle w:val="10"/>
          <w:rFonts w:hint="eastAsia" w:ascii="宋体" w:eastAsia="宋体"/>
          <w:color w:val="auto"/>
          <w:sz w:val="21"/>
          <w:szCs w:val="21"/>
        </w:rPr>
        <w:t>2.2管理评审情况：企业于2021年12月18日开展了</w:t>
      </w:r>
      <w:r>
        <w:rPr>
          <w:rStyle w:val="10"/>
          <w:rFonts w:hint="eastAsia" w:ascii="宋体" w:eastAsia="宋体"/>
          <w:color w:val="auto"/>
          <w:sz w:val="21"/>
          <w:szCs w:val="21"/>
          <w:lang w:eastAsia="zh-CN"/>
        </w:rPr>
        <w:t>测量管理</w:t>
      </w:r>
      <w:r>
        <w:rPr>
          <w:rStyle w:val="10"/>
          <w:rFonts w:hint="eastAsia" w:ascii="宋体" w:eastAsia="宋体"/>
          <w:color w:val="auto"/>
          <w:sz w:val="21"/>
          <w:szCs w:val="21"/>
        </w:rPr>
        <w:t>体系管理评审，会议由公司总经理刘崇利主持，由管理者代表宋胜祥汇报了体系运行情况。会议肯定了公司测量管理体系的充分性、有效性和适宜性。形成了管理评审报告，对公司测量管理体系目前存在的</w:t>
      </w:r>
      <w:r>
        <w:rPr>
          <w:rStyle w:val="10"/>
          <w:rFonts w:hint="eastAsia" w:ascii="宋体" w:eastAsia="宋体"/>
          <w:color w:val="auto"/>
          <w:sz w:val="21"/>
          <w:szCs w:val="21"/>
          <w:lang w:val="en-US" w:eastAsia="zh-CN"/>
        </w:rPr>
        <w:t>2</w:t>
      </w:r>
      <w:r>
        <w:rPr>
          <w:rStyle w:val="10"/>
          <w:rFonts w:hint="eastAsia" w:ascii="宋体" w:eastAsia="宋体"/>
          <w:color w:val="auto"/>
          <w:sz w:val="21"/>
          <w:szCs w:val="21"/>
        </w:rPr>
        <w:t>个方面的问题落实了整改部门。</w:t>
      </w: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增关键测量过程：</w:t>
      </w:r>
    </w:p>
    <w:p>
      <w:pPr>
        <w:widowControl/>
        <w:spacing w:line="360" w:lineRule="auto"/>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ascii="宋体" w:hAnsi="宋体"/>
          <w:color w:val="auto"/>
          <w:szCs w:val="21"/>
          <w:lang w:val="en-US" w:eastAsia="zh-CN"/>
        </w:rPr>
        <w:t>压裂封隔器耐压测试过程</w:t>
      </w:r>
      <w:r>
        <w:rPr>
          <w:rFonts w:hint="eastAsia"/>
          <w:color w:val="auto"/>
        </w:rPr>
        <w:t>，计量要求导出方法正确，验证满足测量过程要求。祥见附件《计量要求导出及验证记录表》</w:t>
      </w:r>
    </w:p>
    <w:p>
      <w:pPr>
        <w:widowControl/>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ascii="宋体" w:hAnsi="宋体"/>
          <w:color w:val="auto"/>
          <w:szCs w:val="21"/>
          <w:lang w:val="en-US" w:eastAsia="zh-CN"/>
        </w:rPr>
        <w:t>压裂封隔器耐压测试</w:t>
      </w:r>
      <w:r>
        <w:rPr>
          <w:rFonts w:hint="eastAsia"/>
          <w:color w:val="auto"/>
        </w:rPr>
        <w:t>过程，测量不确定度评定正确。祥见附件《测量不确定度评定》</w:t>
      </w:r>
    </w:p>
    <w:p>
      <w:pPr>
        <w:widowControl/>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ascii="宋体" w:hAnsi="宋体"/>
          <w:color w:val="auto"/>
          <w:szCs w:val="21"/>
          <w:lang w:val="en-US" w:eastAsia="zh-CN"/>
        </w:rPr>
        <w:t>压裂封隔器耐压测试</w:t>
      </w:r>
      <w:r>
        <w:rPr>
          <w:rFonts w:hint="eastAsia"/>
          <w:color w:val="auto"/>
        </w:rPr>
        <w:t>过程，采用计量进行比对进行有效性确认，满足要求。祥见附件《测量过程有效性确认》</w:t>
      </w:r>
    </w:p>
    <w:p>
      <w:pPr>
        <w:widowControl/>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ascii="宋体" w:hAnsi="宋体"/>
          <w:color w:val="auto"/>
          <w:szCs w:val="21"/>
          <w:lang w:val="en-US" w:eastAsia="zh-CN"/>
        </w:rPr>
        <w:t>压裂封隔器耐压测试</w:t>
      </w:r>
      <w:r>
        <w:rPr>
          <w:rFonts w:hint="eastAsia"/>
          <w:color w:val="auto"/>
        </w:rPr>
        <w:t>过程，编制了控制规范，对测量人员、测量设备、测量环境进行控制，满足要求。</w:t>
      </w:r>
    </w:p>
    <w:p>
      <w:pPr>
        <w:widowControl/>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ascii="宋体" w:hAnsi="宋体"/>
          <w:color w:val="auto"/>
          <w:szCs w:val="21"/>
          <w:lang w:val="en-US" w:eastAsia="zh-CN"/>
        </w:rPr>
        <w:t>压裂封隔器耐压测试</w:t>
      </w:r>
      <w:r>
        <w:rPr>
          <w:rFonts w:hint="eastAsia"/>
          <w:color w:val="auto"/>
        </w:rPr>
        <w:t>过程，</w:t>
      </w:r>
      <w:r>
        <w:rPr>
          <w:rFonts w:hint="eastAsia" w:cs="宋体" w:asciiTheme="minorEastAsia" w:hAnsiTheme="minorEastAsia"/>
          <w:color w:val="auto"/>
          <w:kern w:val="0"/>
          <w:szCs w:val="21"/>
        </w:rPr>
        <w:t>采用统计技术进行控制和监视测量过程。祥见《测量过程监视记录》</w:t>
      </w:r>
    </w:p>
    <w:p>
      <w:pPr>
        <w:widowControl/>
        <w:spacing w:line="360" w:lineRule="auto"/>
        <w:rPr>
          <w:color w:val="auto"/>
          <w:szCs w:val="21"/>
        </w:rPr>
      </w:pPr>
      <w:r>
        <w:rPr>
          <w:rFonts w:hint="eastAsia" w:cs="宋体" w:asciiTheme="minorEastAsia" w:hAnsiTheme="minorEastAsia"/>
          <w:color w:val="auto"/>
          <w:kern w:val="0"/>
          <w:szCs w:val="21"/>
        </w:rPr>
        <w:t>f)测量设备的溯源：公司未建最高计量标准器，测量设备由技术质量部负责溯源。公司测量设备均委托陕西精泰计量检测校准有限责任公司、陕西省能源化工产业计量测试中心等机构校准。根据抽查情况，该公司的校准情况符合溯源性要求。</w:t>
      </w:r>
      <w:r>
        <w:rPr>
          <w:rFonts w:hint="eastAsia"/>
          <w:color w:val="auto"/>
          <w:szCs w:val="21"/>
        </w:rPr>
        <w:t>抽查</w:t>
      </w:r>
      <w:r>
        <w:rPr>
          <w:rFonts w:hint="eastAsia"/>
          <w:color w:val="auto"/>
          <w:szCs w:val="21"/>
          <w:lang w:val="en-US" w:eastAsia="zh-CN"/>
        </w:rPr>
        <w:t>8</w:t>
      </w:r>
      <w:r>
        <w:rPr>
          <w:rFonts w:hint="eastAsia"/>
          <w:color w:val="auto"/>
          <w:szCs w:val="21"/>
        </w:rPr>
        <w:t>台测量设备检定/校准证书，溯源满足要求。祥见《测量设备溯源检查表》</w:t>
      </w:r>
    </w:p>
    <w:p>
      <w:pPr>
        <w:widowControl/>
        <w:spacing w:line="360" w:lineRule="auto"/>
        <w:rPr>
          <w:color w:val="auto"/>
          <w:szCs w:val="21"/>
        </w:rPr>
      </w:pPr>
      <w:r>
        <w:rPr>
          <w:rFonts w:hint="eastAsia"/>
          <w:color w:val="auto"/>
          <w:szCs w:val="21"/>
        </w:rPr>
        <w:t>4.能源管理情况：</w:t>
      </w:r>
    </w:p>
    <w:p>
      <w:pPr>
        <w:widowControl/>
        <w:spacing w:line="360"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12</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不是</w:t>
      </w:r>
      <w:r>
        <w:rPr>
          <w:rFonts w:hint="eastAsia" w:ascii="宋体" w:hAnsi="宋体" w:eastAsia="宋体"/>
          <w:bCs/>
          <w:color w:val="auto"/>
          <w:szCs w:val="21"/>
        </w:rPr>
        <w:t>重点耗能单位，</w:t>
      </w:r>
      <w:r>
        <w:rPr>
          <w:rFonts w:hint="eastAsia" w:ascii="宋体" w:hAnsi="宋体" w:cs="宋体"/>
          <w:bCs/>
          <w:color w:val="auto"/>
          <w:kern w:val="0"/>
          <w:szCs w:val="21"/>
        </w:rPr>
        <w:t>企业的能源计量器具的配备率及准确度等级均满足G</w:t>
      </w:r>
      <w:r>
        <w:rPr>
          <w:rFonts w:ascii="宋体" w:hAnsi="宋体" w:cs="宋体"/>
          <w:bCs/>
          <w:color w:val="auto"/>
          <w:kern w:val="0"/>
          <w:szCs w:val="21"/>
        </w:rPr>
        <w:t>B17167-2006</w:t>
      </w:r>
      <w:r>
        <w:rPr>
          <w:rFonts w:hint="eastAsia" w:ascii="宋体" w:hAnsi="宋体" w:cs="宋体"/>
          <w:bCs/>
          <w:color w:val="auto"/>
          <w:kern w:val="0"/>
          <w:szCs w:val="21"/>
        </w:rPr>
        <w:t>标准要求</w:t>
      </w:r>
    </w:p>
    <w:p>
      <w:pPr>
        <w:widowControl/>
        <w:spacing w:line="360"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630" w:firstLineChars="300"/>
        <w:jc w:val="left"/>
        <w:rPr>
          <w:rFonts w:hint="eastAsia" w:ascii="宋体" w:hAnsi="宋体" w:cs="宋体" w:eastAsiaTheme="minorEastAsia"/>
          <w:bCs/>
          <w:color w:val="auto"/>
          <w:kern w:val="0"/>
          <w:szCs w:val="21"/>
          <w:lang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年外审开出了一项不符合项报告：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rPr>
        <w:t>查编号：041002548 外径千分尺，《计量确认记录》，测量过程计量要求不正确</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不符合</w:t>
      </w:r>
      <w:r>
        <w:rPr>
          <w:rFonts w:hint="eastAsia" w:ascii="宋体" w:hAnsi="宋体" w:cs="宋体"/>
          <w:bCs/>
          <w:color w:val="auto"/>
          <w:kern w:val="0"/>
          <w:szCs w:val="21"/>
          <w:lang w:eastAsia="zh-CN"/>
        </w:rPr>
        <w:t>GB/T19022-2003标准7.1.1条款的要求”，</w:t>
      </w:r>
    </w:p>
    <w:p>
      <w:pPr>
        <w:widowControl/>
        <w:spacing w:line="360" w:lineRule="auto"/>
        <w:rPr>
          <w:rFonts w:cs="宋体" w:asciiTheme="minorEastAsia" w:hAnsiTheme="minorEastAsia"/>
          <w:color w:val="auto"/>
          <w:kern w:val="0"/>
          <w:szCs w:val="21"/>
        </w:rPr>
      </w:pPr>
      <w:r>
        <w:rPr>
          <w:rFonts w:hint="eastAsia" w:ascii="宋体" w:hAnsi="宋体" w:cs="宋体"/>
          <w:bCs/>
          <w:color w:val="auto"/>
          <w:kern w:val="0"/>
          <w:szCs w:val="21"/>
        </w:rPr>
        <w:t>企业对不符合组织了纠正，对编号041002548 外径千分尺重新确认，完善该测量设备测量过程计量要求，举一反三，对所有计量器具进行计量确认。避免相同问题重复发生。验证该不符合项纠正措施有效，同意关闭。</w:t>
      </w:r>
    </w:p>
    <w:p>
      <w:pPr>
        <w:widowControl/>
        <w:numPr>
          <w:ilvl w:val="0"/>
          <w:numId w:val="1"/>
        </w:numPr>
        <w:spacing w:line="360"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企业2020年有未有顾客的投诉。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360"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360" w:lineRule="auto"/>
        <w:ind w:firstLine="420" w:firstLineChars="200"/>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eastAsia="zh-CN"/>
        </w:rPr>
        <w:t>5</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年1月到1</w:t>
      </w:r>
      <w:r>
        <w:rPr>
          <w:rFonts w:hint="eastAsia" w:ascii="宋体" w:hAnsi="宋体" w:eastAsia="宋体"/>
          <w:bCs/>
          <w:color w:val="auto"/>
          <w:szCs w:val="21"/>
          <w:lang w:val="en-US" w:eastAsia="zh-CN"/>
        </w:rPr>
        <w:t>2</w:t>
      </w:r>
      <w:r>
        <w:rPr>
          <w:rFonts w:hint="eastAsia" w:ascii="宋体" w:hAnsi="宋体" w:eastAsia="宋体"/>
          <w:bCs/>
          <w:color w:val="auto"/>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360"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360"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360" w:lineRule="auto"/>
        <w:rPr>
          <w:rFonts w:hint="eastAsia" w:cs="宋体" w:asciiTheme="minorEastAsia" w:hAnsiTheme="minorEastAsia"/>
          <w:bCs/>
          <w:color w:val="auto"/>
          <w:kern w:val="0"/>
          <w:szCs w:val="21"/>
        </w:rPr>
      </w:pPr>
      <w:bookmarkStart w:id="11" w:name="_GoBack"/>
      <w:r>
        <w:rPr>
          <w:rFonts w:hint="eastAsia" w:cs="宋体" w:asciiTheme="minorEastAsia" w:hAnsiTheme="minorEastAsia"/>
          <w:bCs/>
          <w:color w:val="auto"/>
          <w:kern w:val="0"/>
          <w:szCs w:val="21"/>
        </w:rPr>
        <w:t xml:space="preserve"> 用于企业的形象宣传。</w:t>
      </w:r>
    </w:p>
    <w:bookmarkEnd w:id="11"/>
    <w:p>
      <w:pPr>
        <w:widowControl/>
        <w:spacing w:line="360" w:lineRule="auto"/>
        <w:rPr>
          <w:rFonts w:hint="eastAsia" w:ascii="宋体" w:hAnsi="宋体" w:eastAsia="宋体" w:cs="宋体"/>
          <w:b/>
          <w:bCs/>
          <w:color w:val="auto"/>
          <w:kern w:val="0"/>
          <w:szCs w:val="21"/>
        </w:rPr>
      </w:pP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rPr>
        <w:t xml:space="preserve"> 本次监督审核出具一般不符合</w:t>
      </w:r>
      <w:r>
        <w:rPr>
          <w:rFonts w:hint="eastAsia" w:ascii="宋体" w:hAnsi="宋体" w:eastAsia="宋体" w:cs="宋体"/>
          <w:color w:val="auto"/>
          <w:kern w:val="0"/>
          <w:szCs w:val="21"/>
          <w:lang w:val="en-US" w:eastAsia="zh-CN"/>
        </w:rPr>
        <w:t>项0项</w:t>
      </w:r>
      <w:r>
        <w:rPr>
          <w:rFonts w:hint="eastAsia" w:ascii="宋体" w:hAnsi="宋体" w:eastAsia="宋体" w:cs="宋体"/>
          <w:color w:val="auto"/>
          <w:kern w:val="0"/>
          <w:szCs w:val="21"/>
        </w:rPr>
        <w:t>，未发现严重的或系统性的不符合情况：</w:t>
      </w:r>
    </w:p>
    <w:p>
      <w:pPr>
        <w:widowControl/>
        <w:spacing w:line="360" w:lineRule="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三、</w:t>
      </w:r>
      <w:r>
        <w:rPr>
          <w:rFonts w:cs="宋体" w:asciiTheme="minorEastAsia" w:hAnsiTheme="minorEastAsia"/>
          <w:b/>
          <w:bCs/>
          <w:color w:val="auto"/>
          <w:kern w:val="0"/>
          <w:szCs w:val="21"/>
        </w:rPr>
        <w:t>监督审核结论意见</w:t>
      </w:r>
    </w:p>
    <w:p>
      <w:pPr>
        <w:widowControl/>
        <w:numPr>
          <w:ilvl w:val="0"/>
          <w:numId w:val="0"/>
        </w:numPr>
        <w:spacing w:line="360" w:lineRule="auto"/>
        <w:ind w:firstLine="420" w:firstLineChars="200"/>
        <w:rPr>
          <w:rFonts w:hint="eastAsia" w:asciiTheme="minorEastAsia" w:hAnsiTheme="minorEastAsia"/>
          <w:bCs/>
          <w:color w:val="auto"/>
          <w:szCs w:val="21"/>
        </w:rPr>
      </w:pPr>
      <w:r>
        <w:rPr>
          <w:rFonts w:hint="eastAsia" w:asciiTheme="minorEastAsia" w:hAnsiTheme="minorEastAsia"/>
          <w:bCs/>
          <w:color w:val="auto"/>
          <w:szCs w:val="21"/>
        </w:rPr>
        <w:t>通过20</w:t>
      </w:r>
      <w:r>
        <w:rPr>
          <w:rFonts w:hint="eastAsia" w:asciiTheme="minorEastAsia" w:hAnsiTheme="minorEastAsia"/>
          <w:bCs/>
          <w:color w:val="auto"/>
          <w:szCs w:val="21"/>
          <w:lang w:eastAsia="zh-CN"/>
        </w:rPr>
        <w:t>22</w:t>
      </w:r>
      <w:r>
        <w:rPr>
          <w:rFonts w:hint="eastAsia" w:asciiTheme="minorEastAsia" w:hAnsiTheme="minorEastAsia"/>
          <w:bCs/>
          <w:color w:val="auto"/>
          <w:szCs w:val="21"/>
        </w:rPr>
        <w:t>年</w:t>
      </w:r>
      <w:r>
        <w:rPr>
          <w:rFonts w:hint="eastAsia" w:asciiTheme="minorEastAsia" w:hAnsiTheme="minorEastAsia"/>
          <w:bCs/>
          <w:color w:val="auto"/>
          <w:szCs w:val="21"/>
          <w:lang w:eastAsia="zh-CN"/>
        </w:rPr>
        <w:t>1</w:t>
      </w:r>
      <w:r>
        <w:rPr>
          <w:rFonts w:hint="eastAsia" w:asciiTheme="minorEastAsia" w:hAnsiTheme="minorEastAsia"/>
          <w:bCs/>
          <w:color w:val="auto"/>
          <w:szCs w:val="21"/>
        </w:rPr>
        <w:t>月</w:t>
      </w:r>
      <w:r>
        <w:rPr>
          <w:rFonts w:hint="eastAsia" w:asciiTheme="minorEastAsia" w:hAnsiTheme="minorEastAsia"/>
          <w:bCs/>
          <w:color w:val="auto"/>
          <w:szCs w:val="21"/>
          <w:lang w:eastAsia="zh-CN"/>
        </w:rPr>
        <w:t>23</w:t>
      </w:r>
      <w:r>
        <w:rPr>
          <w:rFonts w:hint="eastAsia" w:asciiTheme="minorEastAsia" w:hAnsiTheme="minorEastAsia"/>
          <w:bCs/>
          <w:color w:val="auto"/>
          <w:szCs w:val="21"/>
        </w:rPr>
        <w:t>日，对西安石油大佳润实业有限公司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西安石油大佳润实业有限公司测量管理体系，符合GB/T 19022-2003标准要求，对体系运行具有持续的有效性、符合性予以肯定。建议报请北京国标联合认证有限公司批准通过监督审核。</w:t>
      </w:r>
    </w:p>
    <w:p>
      <w:pPr>
        <w:widowControl/>
        <w:spacing w:line="360"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1529715</wp:posOffset>
            </wp:positionH>
            <wp:positionV relativeFrom="paragraph">
              <wp:posOffset>251460</wp:posOffset>
            </wp:positionV>
            <wp:extent cx="400050" cy="307340"/>
            <wp:effectExtent l="0" t="0" r="6350" b="1016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00050" cy="307340"/>
                    </a:xfrm>
                    <a:prstGeom prst="rect">
                      <a:avLst/>
                    </a:prstGeom>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2022.1.23</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366F38"/>
    <w:rsid w:val="2F546DE3"/>
    <w:rsid w:val="33F24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2022-02-11T11:13:13Z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C8418D51CB77443B9893E5B9E855682F</vt:lpwstr>
  </property>
</Properties>
</file>