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w:t>
      </w:r>
      <w:r>
        <w:rPr>
          <w:rFonts w:hint="eastAsia"/>
          <w:sz w:val="32"/>
          <w:szCs w:val="32"/>
          <w:u w:val="single"/>
          <w:lang w:val="en-US" w:eastAsia="zh-CN"/>
        </w:rPr>
        <w:t>6</w:t>
      </w:r>
      <w:r>
        <w:rPr>
          <w:sz w:val="32"/>
          <w:szCs w:val="32"/>
          <w:u w:val="single"/>
        </w:rPr>
        <w:t>0-2022-QEO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河北东正枚机械有限公司</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hint="eastAsia" w:ascii="Times New Roman" w:hAnsi="Times New Roman" w:eastAsia="宋体" w:cs="Times New Roman"/>
                <w:kern w:val="2"/>
                <w:sz w:val="21"/>
                <w:szCs w:val="24"/>
                <w:lang w:val="en-US" w:eastAsia="zh-CN" w:bidi="ar-SA"/>
              </w:rPr>
            </w:pPr>
            <w:r>
              <w:t>河北东正枚机械有限公司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景县城东开发区</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景县城东开发区</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申东清</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15075896198</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吴秀菊</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吴秀菊</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cs="Times New Roman"/>
                <w:b/>
                <w:sz w:val="20"/>
                <w:szCs w:val="22"/>
                <w:lang w:val="en-US" w:eastAsia="zh-CN"/>
              </w:rPr>
              <w:t>业务洽谈―签订合同―产品采购―发货至顾客指定地址― 验收―结算</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3314"/>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5" w:name="审核日期"/>
            <w:r>
              <w:rPr>
                <w:rFonts w:hint="eastAsia"/>
              </w:rPr>
              <w:t>2022年02月</w:t>
            </w:r>
            <w:r>
              <w:rPr>
                <w:rFonts w:hint="eastAsia"/>
                <w:lang w:val="en-US" w:eastAsia="zh-CN"/>
              </w:rPr>
              <w:t>09</w:t>
            </w:r>
            <w:r>
              <w:rPr>
                <w:rFonts w:hint="eastAsia"/>
              </w:rPr>
              <w:t xml:space="preserve">日 </w:t>
            </w:r>
            <w:r>
              <w:rPr>
                <w:rFonts w:hint="eastAsia"/>
                <w:lang w:val="en-US" w:eastAsia="zh-CN"/>
              </w:rPr>
              <w:t>上</w:t>
            </w:r>
            <w:r>
              <w:rPr>
                <w:rFonts w:hint="eastAsia"/>
              </w:rPr>
              <w:t>午至2022年02月1</w:t>
            </w:r>
            <w:r>
              <w:rPr>
                <w:rFonts w:hint="eastAsia"/>
                <w:lang w:val="en-US" w:eastAsia="zh-CN"/>
              </w:rPr>
              <w:t>0</w:t>
            </w:r>
            <w:r>
              <w:rPr>
                <w:rFonts w:hint="eastAsia"/>
              </w:rPr>
              <w:t xml:space="preserve">日 </w:t>
            </w:r>
            <w:r>
              <w:rPr>
                <w:rFonts w:hint="eastAsia"/>
                <w:lang w:val="en-US" w:eastAsia="zh-CN"/>
              </w:rPr>
              <w:t>上</w:t>
            </w:r>
            <w:r>
              <w:rPr>
                <w:rFonts w:hint="eastAsia"/>
              </w:rPr>
              <w:t>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初审二阶段</w:t>
            </w:r>
            <w:bookmarkStart w:id="15" w:name="监督勾选Add1"/>
            <w:r>
              <w:rPr>
                <w:rFonts w:hint="eastAsia"/>
              </w:rPr>
              <w:t>□</w:t>
            </w:r>
            <w:bookmarkEnd w:id="15"/>
            <w:r>
              <w:rPr>
                <w:rFonts w:hint="eastAsia"/>
              </w:rPr>
              <w:t>监督第</w:t>
            </w:r>
            <w:bookmarkStart w:id="16" w:name="监督次数"/>
            <w:bookmarkEnd w:id="16"/>
            <w:r>
              <w:rPr>
                <w:rFonts w:hint="eastAsia"/>
              </w:rPr>
              <w:t>次监督审核</w:t>
            </w:r>
            <w:bookmarkStart w:id="17" w:name="再认证勾选"/>
            <w:r>
              <w:rPr>
                <w:rFonts w:hint="eastAsia"/>
              </w:rPr>
              <w:t>□</w:t>
            </w:r>
            <w:bookmarkEnd w:id="17"/>
            <w:r>
              <w:rPr>
                <w:rFonts w:hint="eastAsia"/>
              </w:rPr>
              <w:t>再认证</w:t>
            </w:r>
            <w:bookmarkStart w:id="18" w:name="扩项勾选Add1"/>
            <w:r>
              <w:rPr>
                <w:rFonts w:hint="eastAsia"/>
              </w:rPr>
              <w:t>□</w:t>
            </w:r>
            <w:bookmarkEnd w:id="1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hint="eastAsia"/>
                <w:sz w:val="21"/>
                <w:szCs w:val="21"/>
                <w:lang w:eastAsia="zh-CN"/>
              </w:rPr>
              <w:t>景县城东开发区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7056" w:type="dxa"/>
            <w:gridSpan w:val="3"/>
            <w:vMerge w:val="restart"/>
            <w:vAlign w:val="center"/>
          </w:tcPr>
          <w:p>
            <w:bookmarkStart w:id="19" w:name="审核范围"/>
            <w:r>
              <w:t>Q：</w:t>
            </w:r>
            <w:r>
              <w:rPr>
                <w:rFonts w:hint="eastAsia"/>
                <w:lang w:eastAsia="zh-CN"/>
              </w:rPr>
              <w:t>金属软管、金属补偿器、非金属补偿器</w:t>
            </w:r>
            <w:r>
              <w:t>的销售</w:t>
            </w:r>
          </w:p>
          <w:p>
            <w:r>
              <w:t>E：</w:t>
            </w:r>
            <w:r>
              <w:rPr>
                <w:rFonts w:hint="eastAsia"/>
                <w:lang w:eastAsia="zh-CN"/>
              </w:rPr>
              <w:t>金属软管、金属补偿器、非金属补偿器</w:t>
            </w:r>
            <w:r>
              <w:t>的销售所涉及场所的相关环境管理活动</w:t>
            </w:r>
          </w:p>
          <w:p>
            <w:r>
              <w:t>O：</w:t>
            </w:r>
            <w:r>
              <w:rPr>
                <w:rFonts w:hint="eastAsia"/>
                <w:lang w:eastAsia="zh-CN"/>
              </w:rPr>
              <w:t>金属软管、金属补偿器、非金属补偿器</w:t>
            </w:r>
            <w:r>
              <w:t>的销售所涉及场所的相关职业健康安全管理活动</w:t>
            </w:r>
            <w:bookmarkEnd w:id="19"/>
          </w:p>
        </w:tc>
        <w:tc>
          <w:tcPr>
            <w:tcW w:w="1784"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23" w:type="dxa"/>
            <w:vMerge w:val="continue"/>
            <w:vAlign w:val="center"/>
          </w:tcPr>
          <w:p/>
        </w:tc>
        <w:tc>
          <w:tcPr>
            <w:tcW w:w="7056" w:type="dxa"/>
            <w:gridSpan w:val="3"/>
            <w:vMerge w:val="continue"/>
            <w:vAlign w:val="center"/>
          </w:tcPr>
          <w:p/>
        </w:tc>
        <w:tc>
          <w:tcPr>
            <w:tcW w:w="1784" w:type="dxa"/>
            <w:vAlign w:val="center"/>
          </w:tcPr>
          <w:p>
            <w:bookmarkStart w:id="20" w:name="专业代码"/>
            <w:r>
              <w:t>Q：29.12.00</w:t>
            </w:r>
          </w:p>
          <w:p>
            <w:r>
              <w:t>E：29.12.00</w:t>
            </w:r>
          </w:p>
          <w:p>
            <w:r>
              <w:t>O：29.12.00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3314" w:type="dxa"/>
            <w:vAlign w:val="center"/>
          </w:tcPr>
          <w:p>
            <w:r>
              <w:rPr>
                <w:rFonts w:hint="eastAsia"/>
              </w:rPr>
              <w:t>管理体系运行已超过3个月</w:t>
            </w:r>
          </w:p>
        </w:tc>
        <w:tc>
          <w:tcPr>
            <w:tcW w:w="1784"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3314" w:type="dxa"/>
            <w:vAlign w:val="center"/>
          </w:tcPr>
          <w:p>
            <w:r>
              <w:rPr>
                <w:rFonts w:hint="eastAsia"/>
              </w:rPr>
              <w:t>认证证书有效期</w:t>
            </w:r>
          </w:p>
          <w:p>
            <w:r>
              <w:rPr>
                <w:rFonts w:hint="eastAsia"/>
              </w:rPr>
              <w:t>（初审除外）</w:t>
            </w:r>
          </w:p>
        </w:tc>
        <w:tc>
          <w:tcPr>
            <w:tcW w:w="1784"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pPr w:leftFromText="180" w:rightFromText="180" w:vertAnchor="text" w:horzAnchor="page" w:tblpX="1134" w:tblpY="339"/>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70"/>
        <w:gridCol w:w="1790"/>
        <w:gridCol w:w="660"/>
        <w:gridCol w:w="2119"/>
        <w:gridCol w:w="173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27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9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6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119"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38"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70" w:type="dxa"/>
          </w:tcPr>
          <w:p>
            <w:pPr>
              <w:spacing w:before="40" w:after="40"/>
              <w:rPr>
                <w:rFonts w:hint="eastAsia" w:eastAsia="宋体"/>
                <w:szCs w:val="21"/>
                <w:lang w:val="en-US" w:eastAsia="zh-CN"/>
              </w:rPr>
            </w:pPr>
            <w:r>
              <w:rPr>
                <w:rFonts w:hint="eastAsia"/>
                <w:sz w:val="21"/>
                <w:szCs w:val="21"/>
                <w:lang w:eastAsia="zh-CN"/>
              </w:rPr>
              <w:t>河北东正枚机械有限公司</w:t>
            </w:r>
            <w:r>
              <w:rPr>
                <w:rFonts w:hint="eastAsia"/>
                <w:sz w:val="21"/>
                <w:szCs w:val="21"/>
                <w:lang w:val="en-US" w:eastAsia="zh-CN"/>
              </w:rPr>
              <w:t>/</w:t>
            </w:r>
            <w:r>
              <w:rPr>
                <w:rFonts w:hint="eastAsia"/>
                <w:sz w:val="21"/>
                <w:szCs w:val="21"/>
                <w:lang w:eastAsia="zh-CN"/>
              </w:rPr>
              <w:t>景县城东开发区</w:t>
            </w:r>
          </w:p>
        </w:tc>
        <w:tc>
          <w:tcPr>
            <w:tcW w:w="1790" w:type="dxa"/>
          </w:tcPr>
          <w:p>
            <w:pPr>
              <w:spacing w:before="40" w:after="40"/>
              <w:rPr>
                <w:rFonts w:eastAsia="黑体"/>
                <w:szCs w:val="21"/>
                <w:lang w:val="de-DE" w:eastAsia="ja-JP"/>
              </w:rPr>
            </w:pPr>
            <w:r>
              <w:rPr>
                <w:rFonts w:hint="eastAsia"/>
                <w:sz w:val="21"/>
                <w:szCs w:val="21"/>
                <w:lang w:eastAsia="zh-CN"/>
              </w:rPr>
              <w:t>景县城东开发区</w:t>
            </w:r>
            <w:r>
              <w:rPr>
                <w:sz w:val="21"/>
                <w:szCs w:val="21"/>
              </w:rPr>
              <w:t xml:space="preserve">               </w:t>
            </w:r>
          </w:p>
        </w:tc>
        <w:tc>
          <w:tcPr>
            <w:tcW w:w="660" w:type="dxa"/>
            <w:vAlign w:val="center"/>
          </w:tcPr>
          <w:p>
            <w:pPr>
              <w:spacing w:before="40" w:after="40"/>
              <w:rPr>
                <w:rFonts w:hint="default" w:eastAsia="黑体"/>
                <w:szCs w:val="21"/>
                <w:lang w:val="en-US" w:eastAsia="zh-CN"/>
              </w:rPr>
            </w:pPr>
            <w:r>
              <w:rPr>
                <w:rFonts w:hint="eastAsia" w:eastAsia="黑体"/>
                <w:szCs w:val="21"/>
                <w:lang w:val="en-US" w:eastAsia="zh-CN"/>
              </w:rPr>
              <w:t>13</w:t>
            </w:r>
          </w:p>
        </w:tc>
        <w:tc>
          <w:tcPr>
            <w:tcW w:w="2119" w:type="dxa"/>
            <w:vAlign w:val="center"/>
          </w:tcPr>
          <w:p>
            <w:pPr>
              <w:pStyle w:val="20"/>
              <w:rPr>
                <w:rFonts w:eastAsia="黑体" w:cs="Arial"/>
                <w:sz w:val="21"/>
                <w:szCs w:val="21"/>
                <w:lang w:val="en-US" w:eastAsia="ja-JP"/>
              </w:rPr>
            </w:pPr>
            <w:r>
              <w:rPr>
                <w:rFonts w:hint="eastAsia" w:eastAsia="宋体"/>
                <w:sz w:val="21"/>
                <w:szCs w:val="21"/>
                <w:lang w:eastAsia="zh-CN"/>
              </w:rPr>
              <w:t>金属软管、金属补偿器、非金属补偿器</w:t>
            </w:r>
            <w:r>
              <w:rPr>
                <w:sz w:val="21"/>
                <w:szCs w:val="21"/>
              </w:rPr>
              <w:t>的销售</w:t>
            </w:r>
          </w:p>
        </w:tc>
        <w:tc>
          <w:tcPr>
            <w:tcW w:w="1738"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pPr>
        <w:rPr>
          <w:rFonts w:hint="eastAsia"/>
        </w:rPr>
      </w:pPr>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2019-N1QMS-1244880</w:t>
            </w:r>
          </w:p>
          <w:p>
            <w:r>
              <w:t>2021-N1EMS-1244880</w:t>
            </w:r>
          </w:p>
        </w:tc>
        <w:tc>
          <w:tcPr>
            <w:tcW w:w="2179" w:type="dxa"/>
            <w:vAlign w:val="center"/>
          </w:tcPr>
          <w:p>
            <w:r>
              <w:t>Q:29.12.00</w:t>
            </w:r>
          </w:p>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pPr>
              <w:jc w:val="left"/>
              <w:rPr>
                <w:sz w:val="20"/>
                <w:lang w:val="de-DE"/>
              </w:rPr>
            </w:pPr>
            <w:r>
              <w:rPr>
                <w:sz w:val="20"/>
                <w:lang w:val="de-DE"/>
              </w:rPr>
              <w:t>2021-N1QMS-1215052</w:t>
            </w:r>
          </w:p>
          <w:p>
            <w:pPr>
              <w:jc w:val="left"/>
              <w:rPr>
                <w:sz w:val="20"/>
                <w:lang w:val="de-DE"/>
              </w:rPr>
            </w:pPr>
            <w:r>
              <w:rPr>
                <w:sz w:val="20"/>
                <w:lang w:val="de-DE"/>
              </w:rPr>
              <w:t>2022-N0OHSMS-1215052</w:t>
            </w:r>
          </w:p>
          <w:p>
            <w:pPr>
              <w:jc w:val="left"/>
              <w:rPr>
                <w:rFonts w:ascii="Times New Roman" w:hAnsi="Times New Roman" w:eastAsia="宋体" w:cs="Times New Roman"/>
                <w:kern w:val="2"/>
                <w:sz w:val="20"/>
                <w:szCs w:val="24"/>
                <w:lang w:val="de-DE" w:eastAsia="zh-CN" w:bidi="ar-SA"/>
              </w:rPr>
            </w:pPr>
            <w:r>
              <w:rPr>
                <w:sz w:val="20"/>
                <w:lang w:val="de-DE"/>
              </w:rPr>
              <w:t>2020-N0EMS-1215052</w:t>
            </w:r>
          </w:p>
        </w:tc>
        <w:tc>
          <w:tcPr>
            <w:tcW w:w="2179" w:type="dxa"/>
            <w:vAlign w:val="center"/>
          </w:tcPr>
          <w:p>
            <w:pPr>
              <w:jc w:val="left"/>
              <w:rPr>
                <w:sz w:val="20"/>
                <w:lang w:val="de-DE"/>
              </w:rPr>
            </w:pPr>
            <w:r>
              <w:rPr>
                <w:sz w:val="20"/>
                <w:lang w:val="de-DE"/>
              </w:rPr>
              <w:t>Q:29.12.00</w:t>
            </w:r>
          </w:p>
          <w:p>
            <w:pPr>
              <w:jc w:val="left"/>
              <w:rPr>
                <w:rFonts w:ascii="Times New Roman" w:hAnsi="Times New Roman" w:eastAsia="宋体" w:cs="Times New Roman"/>
                <w:kern w:val="2"/>
                <w:sz w:val="20"/>
                <w:szCs w:val="24"/>
                <w:lang w:val="de-DE" w:eastAsia="zh-CN" w:bidi="ar-SA"/>
              </w:rPr>
            </w:pPr>
            <w:r>
              <w:rPr>
                <w:sz w:val="20"/>
                <w:lang w:val="de-DE"/>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pStyle w:val="2"/>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jc w:val="both"/>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1" w:name="Q勾选Add2"/>
            <w:r>
              <w:rPr>
                <w:rFonts w:hint="eastAsia"/>
              </w:rPr>
              <w:t>■</w:t>
            </w:r>
            <w:bookmarkEnd w:id="2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130810</wp:posOffset>
                  </wp:positionH>
                  <wp:positionV relativeFrom="paragraph">
                    <wp:posOffset>201930</wp:posOffset>
                  </wp:positionV>
                  <wp:extent cx="1031240" cy="49657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31240" cy="49657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2022年2月10日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eastAsia="宋体"/>
                <w:lang w:val="en-US" w:eastAsia="zh-CN"/>
              </w:rPr>
            </w:pPr>
            <w:r>
              <w:rPr>
                <w:rFonts w:hint="eastAsia" w:eastAsia="宋体"/>
                <w:lang w:val="en-US" w:eastAsia="zh-CN"/>
              </w:rPr>
              <w:t>客户至上，优质服务，团结协作，求真务实、保护环境、立足安全</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机遇：公司产品机构调整，给公司带来潜在的客户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2供销部门加大市场开拓</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机遇：所采购产品可能会降价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合格供方选择、评价，进货产品验证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公司目前主要销售产品承接产品市场占有份额一般，销售此类产品企业较多，造成产品利润少</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机遇：市场竞争加剧，发展压力加大</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248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48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产品交付顾客验收合格率100%；</w:t>
                  </w:r>
                </w:p>
              </w:tc>
              <w:tc>
                <w:tcPr>
                  <w:tcW w:w="2482" w:type="dxa"/>
                  <w:shd w:val="clear" w:color="auto" w:fill="auto"/>
                  <w:vAlign w:val="center"/>
                </w:tcPr>
                <w:p>
                  <w:pPr>
                    <w:rPr>
                      <w:rFonts w:hint="eastAsia" w:ascii="Times New Roman" w:hAnsi="Times New Roman" w:eastAsia="宋体" w:cs="Times New Roman"/>
                      <w:sz w:val="18"/>
                      <w:szCs w:val="18"/>
                      <w:lang w:val="en-GB"/>
                    </w:rPr>
                  </w:pP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顾客满意度≥9</w:t>
                  </w:r>
                  <w:r>
                    <w:rPr>
                      <w:rFonts w:hint="eastAsia" w:cs="Times New Roman"/>
                      <w:sz w:val="18"/>
                      <w:szCs w:val="18"/>
                      <w:lang w:val="en-US" w:eastAsia="zh-CN"/>
                    </w:rPr>
                    <w:t>6</w:t>
                  </w:r>
                  <w:r>
                    <w:rPr>
                      <w:rFonts w:hint="eastAsia" w:ascii="Times New Roman" w:hAnsi="Times New Roman" w:eastAsia="宋体" w:cs="Times New Roman"/>
                      <w:sz w:val="18"/>
                      <w:szCs w:val="18"/>
                    </w:rPr>
                    <w:t>%</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100</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及时处理顾客反馈信息率100%</w:t>
                  </w:r>
                </w:p>
              </w:tc>
              <w:tc>
                <w:tcPr>
                  <w:tcW w:w="2482" w:type="dxa"/>
                  <w:shd w:val="clear" w:color="auto" w:fill="auto"/>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反馈处理</w:t>
                  </w:r>
                  <w:r>
                    <w:rPr>
                      <w:rFonts w:hint="eastAsia" w:ascii="Times New Roman" w:hAnsi="Times New Roman" w:eastAsia="宋体" w:cs="Times New Roman"/>
                      <w:sz w:val="18"/>
                      <w:szCs w:val="18"/>
                      <w:lang w:val="en-GB"/>
                    </w:rPr>
                    <w:t>次数/</w:t>
                  </w:r>
                  <w:r>
                    <w:rPr>
                      <w:rFonts w:hint="eastAsia" w:cs="Times New Roman"/>
                      <w:sz w:val="18"/>
                      <w:szCs w:val="18"/>
                      <w:lang w:val="en-US" w:eastAsia="zh-CN"/>
                    </w:rPr>
                    <w:t>总反馈数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未对产品运输外包方进行评价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sz w:val="20"/>
                      <w:lang w:eastAsia="zh-CN"/>
                    </w:rPr>
                    <w:t>金属软管、金属补偿器、非金属补偿器</w:t>
                  </w:r>
                  <w:r>
                    <w:rPr>
                      <w:sz w:val="20"/>
                    </w:rPr>
                    <w:t>的销售</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业务洽谈</w:t>
                  </w:r>
                </w:p>
              </w:tc>
              <w:tc>
                <w:tcPr>
                  <w:tcW w:w="3265" w:type="dxa"/>
                </w:tcPr>
                <w:p>
                  <w:pPr>
                    <w:shd w:val="clear" w:color="auto" w:fill="C7DAF1" w:themeFill="text2" w:themeFillTint="32"/>
                    <w:jc w:val="left"/>
                  </w:pPr>
                  <w:r>
                    <w:rPr>
                      <w:rFonts w:hint="eastAsia"/>
                      <w:color w:val="000000"/>
                      <w:u w:val="single"/>
                      <w:lang w:val="en-US" w:eastAsia="zh-CN"/>
                    </w:rPr>
                    <w:t>订单执行时间、需求数量</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Ansi="楷体" w:eastAsia="楷体"/>
                <w:b/>
                <w:sz w:val="24"/>
                <w:szCs w:val="24"/>
              </w:rPr>
            </w:pPr>
            <w:r>
              <w:rPr>
                <w:rFonts w:hint="eastAsia" w:hAnsi="楷体" w:eastAsia="楷体"/>
                <w:b/>
                <w:sz w:val="24"/>
                <w:szCs w:val="24"/>
              </w:rPr>
              <w:t>客户至上，</w:t>
            </w:r>
            <w:r>
              <w:rPr>
                <w:rFonts w:hint="eastAsia" w:hAnsi="楷体" w:eastAsia="楷体"/>
                <w:b/>
                <w:sz w:val="24"/>
                <w:szCs w:val="24"/>
                <w:lang w:val="en-US" w:eastAsia="zh-CN"/>
              </w:rPr>
              <w:t>优质服务</w:t>
            </w:r>
            <w:r>
              <w:rPr>
                <w:rFonts w:hint="eastAsia" w:hAnsi="楷体" w:eastAsia="楷体"/>
                <w:b/>
                <w:sz w:val="24"/>
                <w:szCs w:val="24"/>
              </w:rPr>
              <w:t>，团结协作，求真务实</w:t>
            </w:r>
            <w:r>
              <w:rPr>
                <w:rFonts w:hAnsi="楷体" w:eastAsia="楷体"/>
                <w:b/>
                <w:sz w:val="24"/>
                <w:szCs w:val="24"/>
              </w:rPr>
              <w:t>、保护环境、立足安全</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7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pPr>
                  <w:r>
                    <w:rPr>
                      <w:rFonts w:hint="eastAsia"/>
                    </w:rPr>
                    <w:t>主要的风险或机遇描述</w:t>
                  </w:r>
                </w:p>
              </w:tc>
              <w:tc>
                <w:tcPr>
                  <w:tcW w:w="3742"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pPr>
                  <w:r>
                    <w:rPr>
                      <w:rFonts w:hint="eastAsia"/>
                    </w:rPr>
                    <w:t>公司产品售后服务处理不好，顾客埋怨投诉较多，以及产品寿命结束后的回收处理问题</w:t>
                  </w:r>
                </w:p>
              </w:tc>
              <w:tc>
                <w:tcPr>
                  <w:tcW w:w="3742" w:type="dxa"/>
                </w:tcPr>
                <w:p>
                  <w:pPr>
                    <w:shd w:val="clear" w:color="auto" w:fill="EBF1DE" w:themeFill="accent3" w:themeFillTint="32"/>
                  </w:pPr>
                  <w:r>
                    <w:rPr>
                      <w:rFonts w:hint="eastAsia" w:ascii="宋体" w:hAnsi="宋体" w:eastAsia="宋体" w:cs="宋体"/>
                      <w:b w:val="0"/>
                      <w:bCs w:val="0"/>
                      <w:kern w:val="0"/>
                      <w:sz w:val="21"/>
                      <w:szCs w:val="21"/>
                      <w:lang w:val="en-US" w:eastAsia="zh-CN" w:bidi="ar-SA"/>
                    </w:rPr>
                    <w:t>供销部门和产品部要严格按照售后服务管理规定，做好客户服务工作</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137"/>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固体废弃物分类处理率达100%</w:t>
                  </w:r>
                </w:p>
                <w:p>
                  <w:pPr>
                    <w:shd w:val="clear" w:color="auto" w:fill="EBF1DE" w:themeFill="accent3" w:themeFillTint="32"/>
                    <w:rPr>
                      <w:rFonts w:hint="eastAsia"/>
                      <w:lang w:eastAsia="zh-CN"/>
                    </w:rPr>
                  </w:pPr>
                  <w:r>
                    <w:rPr>
                      <w:rFonts w:hint="eastAsia" w:ascii="Times New Roman" w:hAnsi="Times New Roman" w:eastAsia="宋体" w:cs="Times New Roman"/>
                      <w:sz w:val="18"/>
                      <w:szCs w:val="18"/>
                      <w:lang w:val="en-US" w:eastAsia="zh-CN"/>
                    </w:rPr>
                    <w:t>火灾发生率0%</w:t>
                  </w:r>
                </w:p>
              </w:tc>
              <w:tc>
                <w:tcPr>
                  <w:tcW w:w="3137" w:type="dxa"/>
                  <w:shd w:val="clear" w:color="auto" w:fill="auto"/>
                  <w:vAlign w:val="center"/>
                </w:tcPr>
                <w:p>
                  <w:pPr>
                    <w:shd w:val="clear" w:color="auto" w:fill="EBF1DE" w:themeFill="accent3" w:themeFillTint="32"/>
                    <w:rPr>
                      <w:sz w:val="18"/>
                      <w:szCs w:val="18"/>
                      <w:lang w:val="en-GB"/>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214" w:type="dxa"/>
                  <w:shd w:val="clear" w:color="auto" w:fill="auto"/>
                  <w:vAlign w:val="center"/>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800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未对产品运输外包方施加环境影响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5</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Ansi="楷体" w:eastAsia="楷体"/>
                <w:b/>
                <w:sz w:val="24"/>
                <w:szCs w:val="24"/>
              </w:rPr>
            </w:pPr>
            <w:r>
              <w:rPr>
                <w:rFonts w:hint="eastAsia" w:hAnsi="楷体" w:eastAsia="楷体"/>
                <w:b/>
                <w:sz w:val="24"/>
                <w:szCs w:val="24"/>
              </w:rPr>
              <w:t>客户至上，</w:t>
            </w:r>
            <w:r>
              <w:rPr>
                <w:rFonts w:hint="eastAsia" w:hAnsi="楷体" w:eastAsia="楷体"/>
                <w:b/>
                <w:sz w:val="24"/>
                <w:szCs w:val="24"/>
                <w:lang w:val="en-US" w:eastAsia="zh-CN"/>
              </w:rPr>
              <w:t>优质服务</w:t>
            </w:r>
            <w:r>
              <w:rPr>
                <w:rFonts w:hint="eastAsia" w:hAnsi="楷体" w:eastAsia="楷体"/>
                <w:b/>
                <w:sz w:val="24"/>
                <w:szCs w:val="24"/>
              </w:rPr>
              <w:t>，团结协作，求真务实</w:t>
            </w:r>
            <w:r>
              <w:rPr>
                <w:rFonts w:hAnsi="楷体" w:eastAsia="楷体"/>
                <w:b/>
                <w:sz w:val="24"/>
                <w:szCs w:val="24"/>
              </w:rPr>
              <w:t>、保护环境、立足安全</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刘国栋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3"/>
              <w:gridCol w:w="32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r>
                    <w:rPr>
                      <w:rFonts w:hint="eastAsia"/>
                    </w:rPr>
                    <w:t>主要的风险或机遇描述</w:t>
                  </w:r>
                </w:p>
              </w:tc>
              <w:tc>
                <w:tcPr>
                  <w:tcW w:w="3242"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pPr>
                    <w:rPr>
                      <w:rFonts w:hint="eastAsia"/>
                      <w:sz w:val="18"/>
                      <w:szCs w:val="18"/>
                    </w:rPr>
                  </w:pPr>
                  <w:r>
                    <w:rPr>
                      <w:rFonts w:hint="eastAsia"/>
                      <w:b/>
                      <w:sz w:val="18"/>
                      <w:szCs w:val="18"/>
                    </w:rPr>
                    <w:t>风险：</w:t>
                  </w:r>
                  <w:r>
                    <w:rPr>
                      <w:rFonts w:hint="eastAsia"/>
                      <w:sz w:val="18"/>
                      <w:szCs w:val="18"/>
                    </w:rPr>
                    <w:t>公司目前人员特别是优秀人才被外单位吸引离开的情况还是存在，对公司是比较大的损失。员工业务素质在一定程度上存在参差不齐的情况，加上绩效考核不能有效落实，会对工作完成质量造成不好的影响。</w:t>
                  </w:r>
                </w:p>
                <w:p>
                  <w:pPr>
                    <w:rPr>
                      <w:sz w:val="18"/>
                      <w:szCs w:val="18"/>
                    </w:rPr>
                  </w:pPr>
                  <w:r>
                    <w:rPr>
                      <w:rFonts w:hint="eastAsia"/>
                      <w:b/>
                      <w:sz w:val="18"/>
                      <w:szCs w:val="18"/>
                    </w:rPr>
                    <w:t>机遇：</w:t>
                  </w:r>
                  <w:r>
                    <w:rPr>
                      <w:rFonts w:hint="eastAsia"/>
                      <w:sz w:val="18"/>
                      <w:szCs w:val="18"/>
                    </w:rPr>
                    <w:t>公司目前主要人员还算稳定，各项绩效考核能顺利开展，为公司的发展提供一个比较好的基础。</w:t>
                  </w:r>
                </w:p>
              </w:tc>
              <w:tc>
                <w:tcPr>
                  <w:tcW w:w="3242" w:type="dxa"/>
                </w:tcPr>
                <w:p>
                  <w:pPr>
                    <w:rPr>
                      <w:rFonts w:hint="eastAsia"/>
                      <w:sz w:val="18"/>
                      <w:szCs w:val="18"/>
                    </w:rPr>
                  </w:pPr>
                  <w:r>
                    <w:rPr>
                      <w:rFonts w:hint="eastAsia"/>
                      <w:sz w:val="18"/>
                      <w:szCs w:val="18"/>
                    </w:rPr>
                    <w:t>1.各部门要及时关注员工的心理变换，注意工作方式，创造良好的工作环境，提高员工的归属感</w:t>
                  </w:r>
                </w:p>
                <w:p>
                  <w:pPr>
                    <w:rPr>
                      <w:rFonts w:hint="eastAsia"/>
                      <w:sz w:val="18"/>
                      <w:szCs w:val="18"/>
                    </w:rPr>
                  </w:pPr>
                  <w:r>
                    <w:rPr>
                      <w:rFonts w:hint="eastAsia"/>
                      <w:sz w:val="18"/>
                      <w:szCs w:val="18"/>
                    </w:rPr>
                    <w:t>2.人资部做好人员的储备，防止人员流失后给公司带来的风险；</w:t>
                  </w:r>
                </w:p>
                <w:p>
                  <w:pPr>
                    <w:rPr>
                      <w:sz w:val="18"/>
                      <w:szCs w:val="18"/>
                    </w:rPr>
                  </w:pPr>
                  <w:r>
                    <w:rPr>
                      <w:rFonts w:hint="eastAsia"/>
                      <w:sz w:val="18"/>
                      <w:szCs w:val="18"/>
                    </w:rPr>
                    <w:t>3.各职能部门加强绩效考核的有效开展，通过考核促进员工的工作积极性，提高业务素质。</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p>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r>
              <w:rPr>
                <w:rFonts w:hint="eastAsia"/>
                <w:lang w:val="en-US" w:eastAsia="zh-CN"/>
              </w:rPr>
              <w:t>重大疫情、交通事故</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无重伤及死亡事故</w:t>
                  </w:r>
                </w:p>
                <w:p>
                  <w:r>
                    <w:rPr>
                      <w:rFonts w:hint="eastAsia" w:ascii="Times New Roman" w:hAnsi="Times New Roman" w:eastAsia="宋体" w:cs="Times New Roman"/>
                      <w:sz w:val="18"/>
                      <w:szCs w:val="18"/>
                      <w:lang w:val="en-US" w:eastAsia="zh-CN"/>
                    </w:rPr>
                    <w:t>火灾发生率为零</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800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未对产品运输外包方施加职业健康安全影响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r>
                    <w:rPr>
                      <w:rFonts w:hint="eastAsia"/>
                      <w:lang w:eastAsia="zh-CN"/>
                    </w:rPr>
                    <w:t>、</w:t>
                  </w:r>
                  <w:r>
                    <w:rPr>
                      <w:rFonts w:hint="eastAsia"/>
                      <w:lang w:val="en-US" w:eastAsia="zh-CN"/>
                    </w:rPr>
                    <w:t>交通事故</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eastAsia="宋体"/>
                      <w:lang w:val="en-US" w:eastAsia="zh-CN"/>
                    </w:rPr>
                  </w:pPr>
                  <w:r>
                    <w:rPr>
                      <w:rFonts w:hint="eastAsia"/>
                      <w:lang w:val="en-US" w:eastAsia="zh-CN"/>
                    </w:rPr>
                    <w:t>重大疫情</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管理方案、应急预案</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30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bookmarkStart w:id="24" w:name="_GoBack"/>
      <w:bookmarkEnd w:id="24"/>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45E2AD3"/>
    <w:rsid w:val="2244216D"/>
    <w:rsid w:val="48B347FC"/>
    <w:rsid w:val="4CE17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2022-02-18T09:03:41Z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