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25260" cy="9449435"/>
            <wp:effectExtent l="0" t="0" r="2540" b="12065"/>
            <wp:docPr id="1" name="图片 1" descr="新文档 2022-02-18 10.45.5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18 10.45.57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944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河北东正枚机械有限公司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景县城东开发区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景县城东开发区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申东清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15075896198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5300725@qq.com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0060-2022-QEO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Q：金属软管、金属补偿器、非金属补偿器的销售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O：金属软管、金属补偿器、非金属补偿器的销售所涉及场所的相关职业健康安全管理活动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E：金属软管、金属补偿器、非金属补偿器的销售所涉及场所的相关环境管理活动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GB/T45001-2020/ISO45001：2020标准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2022年02月09日 上午至2022年02月10日 上午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bookmarkStart w:id="22" w:name="_GoBack" w:colFirst="3" w:colLast="4"/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2020-N0EMS-1215052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bookmark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2022.1.19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37"/>
        <w:gridCol w:w="636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2022.2.9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/危险源辨识；合规性评价；监视和测量总则；管理评审；总则；持续改进；范围的确认、资质的确认、法律法规执行情况、质量抽查及顾客投诉情况、一阶段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5.1/5.2/5.3/6.1/6.2/7.1/9.1.1/10.1/10.3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审核Q4.1/4.2/4.3/4.4/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5.1/5.2/5.3/6.1/6.2/6.3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7.1/9.1.1/10.1/10.3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：组织的岗位、职责权限；目标；基础设施；运行环境；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监视和测量资源；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生产和服务提供的控制；标识和可追溯性；产品防护；</w:t>
            </w:r>
            <w:r>
              <w:rPr>
                <w:rFonts w:hint="eastAsia"/>
                <w:sz w:val="21"/>
                <w:szCs w:val="21"/>
              </w:rPr>
              <w:t>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C审核Q8.2/8.4/9.1.2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.1/8.5.2/8.5.3/8.5.4/8.5.5/8.5.6/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2022.2.10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环境因素、危险源辨识、风险评价和控制措施的确定；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文件化信息；运行策划和控制；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；绩效的监视和测量；合规性评价；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数据分析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A审核QEO9.2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/8.1/8.2/9.1.1/9.1.2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 审核Q7.1.2/7.1.6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/8.1/8.2/9.1.1/9.1.2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5A1"/>
    <w:rsid w:val="005A1141"/>
    <w:rsid w:val="00B565A1"/>
    <w:rsid w:val="00B83B6B"/>
    <w:rsid w:val="49175B3F"/>
    <w:rsid w:val="4F7E56D3"/>
    <w:rsid w:val="666C7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2671</Words>
  <Characters>3180</Characters>
  <Lines>353</Lines>
  <Paragraphs>417</Paragraphs>
  <TotalTime>2</TotalTime>
  <ScaleCrop>false</ScaleCrop>
  <LinksUpToDate>false</LinksUpToDate>
  <CharactersWithSpaces>5434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2022-02-18T09:04:00Z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