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0060-2022-QEO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河北东正枚机械有限公司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w:t>
            </w:r>
            <w:r>
              <w:rPr>
                <w:rFonts w:hint="eastAsia" w:ascii="宋体"/>
                <w:b/>
                <w:color w:val="000000"/>
                <w:szCs w:val="21"/>
                <w:lang w:val="en-US" w:eastAsia="zh-CN"/>
              </w:rPr>
              <w:t>2</w:t>
            </w:r>
            <w:r>
              <w:rPr>
                <w:rFonts w:hint="eastAsia" w:ascii="宋体"/>
                <w:b/>
                <w:color w:val="000000"/>
                <w:szCs w:val="21"/>
              </w:rPr>
              <w:t>月</w:t>
            </w:r>
            <w:r>
              <w:rPr>
                <w:rFonts w:hint="eastAsia" w:ascii="宋体"/>
                <w:b/>
                <w:color w:val="000000"/>
                <w:szCs w:val="21"/>
                <w:lang w:val="en-US" w:eastAsia="zh-CN"/>
              </w:rPr>
              <w:t>08</w:t>
            </w:r>
            <w:r>
              <w:rPr>
                <w:rFonts w:hint="eastAsia" w:ascii="宋体"/>
                <w:b/>
                <w:color w:val="000000"/>
                <w:szCs w:val="21"/>
              </w:rPr>
              <w:t>日 上午至2022年0</w:t>
            </w:r>
            <w:r>
              <w:rPr>
                <w:rFonts w:hint="eastAsia" w:ascii="宋体"/>
                <w:b/>
                <w:color w:val="000000"/>
                <w:szCs w:val="21"/>
                <w:lang w:val="en-US" w:eastAsia="zh-CN"/>
              </w:rPr>
              <w:t>2</w:t>
            </w:r>
            <w:r>
              <w:rPr>
                <w:rFonts w:hint="eastAsia" w:ascii="宋体"/>
                <w:b/>
                <w:color w:val="000000"/>
                <w:szCs w:val="21"/>
              </w:rPr>
              <w:t>月</w:t>
            </w:r>
            <w:r>
              <w:rPr>
                <w:rFonts w:hint="eastAsia" w:ascii="宋体"/>
                <w:b/>
                <w:color w:val="000000"/>
                <w:szCs w:val="21"/>
                <w:lang w:val="en-US" w:eastAsia="zh-CN"/>
              </w:rPr>
              <w:t>08</w:t>
            </w:r>
            <w:r>
              <w:rPr>
                <w:rFonts w:hint="eastAsia" w:ascii="宋体"/>
                <w:b/>
                <w:color w:val="000000"/>
                <w:szCs w:val="21"/>
              </w:rPr>
              <w:t>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4"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景县城东开发区</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48"/>
        <w:gridCol w:w="126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48" w:type="dxa"/>
            <w:vAlign w:val="center"/>
          </w:tcPr>
          <w:p>
            <w:pPr>
              <w:spacing w:line="240" w:lineRule="exact"/>
              <w:jc w:val="center"/>
              <w:rPr>
                <w:b/>
                <w:color w:val="000000"/>
                <w:szCs w:val="21"/>
              </w:rPr>
            </w:pPr>
            <w:r>
              <w:rPr>
                <w:rFonts w:hint="eastAsia"/>
                <w:szCs w:val="21"/>
              </w:rPr>
              <w:t>审核员注册证书号</w:t>
            </w:r>
          </w:p>
        </w:tc>
        <w:tc>
          <w:tcPr>
            <w:tcW w:w="126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48"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2020-N1OHSMS-3022240</w:t>
            </w:r>
          </w:p>
          <w:p>
            <w:pPr>
              <w:spacing w:line="240" w:lineRule="exact"/>
              <w:jc w:val="center"/>
              <w:rPr>
                <w:b/>
                <w:color w:val="000000"/>
                <w:szCs w:val="21"/>
              </w:rPr>
            </w:pPr>
            <w:r>
              <w:rPr>
                <w:b/>
                <w:color w:val="000000"/>
                <w:szCs w:val="21"/>
              </w:rPr>
              <w:t>2020-N1EMS-3022240</w:t>
            </w:r>
          </w:p>
        </w:tc>
        <w:tc>
          <w:tcPr>
            <w:tcW w:w="1262"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O:29.12.00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48"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tc>
        <w:tc>
          <w:tcPr>
            <w:tcW w:w="1262"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48"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2022-N0OHSMS-1215052</w:t>
            </w:r>
          </w:p>
          <w:p>
            <w:pPr>
              <w:spacing w:line="240" w:lineRule="exact"/>
              <w:jc w:val="center"/>
              <w:rPr>
                <w:b/>
                <w:color w:val="000000"/>
                <w:szCs w:val="21"/>
              </w:rPr>
            </w:pPr>
            <w:r>
              <w:rPr>
                <w:b/>
                <w:color w:val="000000"/>
                <w:szCs w:val="21"/>
              </w:rPr>
              <w:t>2020-N0EMS-1215052</w:t>
            </w:r>
          </w:p>
        </w:tc>
        <w:tc>
          <w:tcPr>
            <w:tcW w:w="1262"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48" w:type="dxa"/>
            <w:vAlign w:val="center"/>
          </w:tcPr>
          <w:p>
            <w:pPr>
              <w:rPr>
                <w:b/>
                <w:color w:val="000000"/>
                <w:szCs w:val="21"/>
              </w:rPr>
            </w:pPr>
            <w:r>
              <w:rPr>
                <w:rFonts w:hint="eastAsia"/>
                <w:b/>
                <w:color w:val="000000"/>
                <w:szCs w:val="21"/>
              </w:rPr>
              <w:t>工作单位</w:t>
            </w:r>
          </w:p>
        </w:tc>
        <w:tc>
          <w:tcPr>
            <w:tcW w:w="235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748" w:type="dxa"/>
            <w:vAlign w:val="center"/>
          </w:tcPr>
          <w:p>
            <w:pPr>
              <w:rPr>
                <w:b/>
                <w:color w:val="000000"/>
                <w:szCs w:val="21"/>
              </w:rPr>
            </w:pPr>
          </w:p>
        </w:tc>
        <w:tc>
          <w:tcPr>
            <w:tcW w:w="2350"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河北东正枚机械有限公司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景县城东开发区</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053500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景县城东开发区</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053500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申东清</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15075896198</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吴秀菊</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ascii="宋体"/>
                <w:b/>
                <w:color w:val="000000"/>
                <w:szCs w:val="21"/>
              </w:rPr>
            </w:pPr>
            <w:r>
              <w:rPr>
                <w:rFonts w:ascii="宋体"/>
                <w:b/>
                <w:color w:val="000000"/>
                <w:szCs w:val="21"/>
              </w:rPr>
              <w:t>申东清</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b w:val="0"/>
                <w:bCs w:val="0"/>
                <w:sz w:val="21"/>
                <w:szCs w:val="21"/>
              </w:rPr>
              <w:t>金属软管、金属补偿器、非金属补偿器的销售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rPr>
              <w:t>业务洽谈―签订合同―产品采购―发货至顾客指定地址― 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bookmarkStart w:id="28" w:name="审核范围"/>
            <w:r>
              <w:rPr>
                <w:b w:val="0"/>
                <w:bCs w:val="0"/>
                <w:sz w:val="21"/>
                <w:szCs w:val="21"/>
              </w:rPr>
              <w:t>Q：金属软管、金属补偿器、非金属补偿器的销售</w:t>
            </w:r>
            <w:bookmarkEnd w:id="28"/>
          </w:p>
        </w:tc>
        <w:tc>
          <w:tcPr>
            <w:tcW w:w="2006" w:type="dxa"/>
            <w:gridSpan w:val="3"/>
            <w:vAlign w:val="center"/>
          </w:tcPr>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bookmarkStart w:id="29" w:name="专业代码"/>
            <w:r>
              <w:rPr>
                <w:b w:val="0"/>
                <w:bCs w:val="0"/>
                <w:sz w:val="21"/>
                <w:szCs w:val="21"/>
              </w:rPr>
              <w:t>Q：29.12.00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ascii="Times New Roman" w:hAnsi="Times New Roman" w:eastAsia="宋体" w:cs="Times New Roman"/>
                <w:b w:val="0"/>
                <w:bCs w:val="0"/>
                <w:sz w:val="21"/>
                <w:szCs w:val="21"/>
              </w:rPr>
              <w:t>E：金属软管、金属补偿器、非金属补偿器的销售所涉及场所的相关环境管理活动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r>
              <w:rPr>
                <w:rFonts w:ascii="Times New Roman" w:hAnsi="Times New Roman" w:eastAsia="宋体" w:cs="Times New Roman"/>
                <w:b w:val="0"/>
                <w:bCs w:val="0"/>
                <w:sz w:val="21"/>
                <w:szCs w:val="21"/>
              </w:rPr>
              <w:t>O：金属软管、金属补偿器、非金属补偿器的销售所涉及场所的相关职业健康安全管理活动</w:t>
            </w:r>
          </w:p>
        </w:tc>
        <w:tc>
          <w:tcPr>
            <w:tcW w:w="2006" w:type="dxa"/>
            <w:gridSpan w:val="3"/>
            <w:vAlign w:val="center"/>
          </w:tcPr>
          <w:p>
            <w:pPr>
              <w:keepNext w:val="0"/>
              <w:keepLines w:val="0"/>
              <w:pageBreakBefore w:val="0"/>
              <w:kinsoku/>
              <w:wordWrap/>
              <w:overflowPunct/>
              <w:topLinePunct w:val="0"/>
              <w:autoSpaceDE/>
              <w:autoSpaceDN/>
              <w:bidi w:val="0"/>
              <w:adjustRightInd/>
              <w:spacing w:line="280" w:lineRule="exact"/>
              <w:rPr>
                <w:b w:val="0"/>
                <w:bCs w:val="0"/>
                <w:sz w:val="21"/>
                <w:szCs w:val="21"/>
              </w:rPr>
            </w:pPr>
            <w:r>
              <w:rPr>
                <w:b w:val="0"/>
                <w:bCs w:val="0"/>
                <w:sz w:val="21"/>
                <w:szCs w:val="21"/>
              </w:rPr>
              <w:t>O：29.12.00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pPr w:leftFromText="180" w:rightFromText="180" w:vertAnchor="text" w:horzAnchor="page" w:tblpX="1134" w:tblpY="339"/>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98"/>
        <w:gridCol w:w="1705"/>
        <w:gridCol w:w="636"/>
        <w:gridCol w:w="1687"/>
        <w:gridCol w:w="19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59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0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3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687"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5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598" w:type="dxa"/>
          </w:tcPr>
          <w:p>
            <w:pPr>
              <w:spacing w:before="40" w:after="40"/>
              <w:rPr>
                <w:rFonts w:hint="eastAsia" w:eastAsia="黑体"/>
                <w:szCs w:val="21"/>
                <w:lang w:val="de-DE" w:eastAsia="ja-JP"/>
              </w:rPr>
            </w:pPr>
            <w:r>
              <w:rPr>
                <w:rFonts w:hint="eastAsia" w:eastAsia="黑体"/>
                <w:szCs w:val="21"/>
                <w:lang w:val="de-DE" w:eastAsia="ja-JP"/>
              </w:rPr>
              <w:t>河北东正枚机械有限公司</w:t>
            </w:r>
          </w:p>
          <w:p>
            <w:pPr>
              <w:spacing w:before="40" w:after="40"/>
              <w:rPr>
                <w:rFonts w:eastAsia="黑体"/>
                <w:szCs w:val="21"/>
                <w:lang w:val="de-DE" w:eastAsia="ja-JP"/>
              </w:rPr>
            </w:pPr>
            <w:r>
              <w:rPr>
                <w:rFonts w:hint="eastAsia" w:eastAsia="黑体"/>
                <w:szCs w:val="21"/>
                <w:lang w:val="de-DE" w:eastAsia="ja-JP"/>
              </w:rPr>
              <w:t>景县城东开发区</w:t>
            </w:r>
          </w:p>
        </w:tc>
        <w:tc>
          <w:tcPr>
            <w:tcW w:w="1705" w:type="dxa"/>
          </w:tcPr>
          <w:p>
            <w:pPr>
              <w:spacing w:before="40" w:after="40"/>
              <w:rPr>
                <w:rFonts w:eastAsia="黑体"/>
                <w:szCs w:val="21"/>
                <w:lang w:val="de-DE" w:eastAsia="ja-JP"/>
              </w:rPr>
            </w:pPr>
            <w:r>
              <w:rPr>
                <w:rFonts w:hint="eastAsia" w:eastAsia="黑体"/>
                <w:szCs w:val="21"/>
                <w:lang w:val="de-DE" w:eastAsia="ja-JP"/>
              </w:rPr>
              <w:t>景县城东开发区</w:t>
            </w:r>
          </w:p>
        </w:tc>
        <w:tc>
          <w:tcPr>
            <w:tcW w:w="636"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1687" w:type="dxa"/>
            <w:vAlign w:val="center"/>
          </w:tcPr>
          <w:p>
            <w:pPr>
              <w:pStyle w:val="20"/>
              <w:rPr>
                <w:rFonts w:eastAsia="黑体" w:cs="Arial"/>
                <w:sz w:val="21"/>
                <w:szCs w:val="21"/>
                <w:lang w:val="en-US" w:eastAsia="ja-JP"/>
              </w:rPr>
            </w:pPr>
            <w:r>
              <w:rPr>
                <w:b w:val="0"/>
                <w:bCs w:val="0"/>
                <w:sz w:val="21"/>
                <w:szCs w:val="21"/>
              </w:rPr>
              <w:t>金属软管、金属补偿器、非金属补偿器的销售</w:t>
            </w:r>
          </w:p>
        </w:tc>
        <w:tc>
          <w:tcPr>
            <w:tcW w:w="195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2022-0</w:t>
            </w:r>
            <w:r>
              <w:rPr>
                <w:rFonts w:hint="eastAsia" w:ascii="宋体"/>
                <w:b/>
                <w:color w:val="000000"/>
                <w:szCs w:val="21"/>
                <w:lang w:val="en-US" w:eastAsia="zh-CN"/>
              </w:rPr>
              <w:t>2</w:t>
            </w:r>
            <w:r>
              <w:rPr>
                <w:rFonts w:hint="eastAsia" w:ascii="宋体"/>
                <w:b/>
                <w:color w:val="000000"/>
                <w:szCs w:val="21"/>
              </w:rPr>
              <w:t>-</w:t>
            </w:r>
            <w:bookmarkEnd w:id="30"/>
            <w:r>
              <w:rPr>
                <w:rFonts w:hint="eastAsia" w:ascii="宋体"/>
                <w:b/>
                <w:color w:val="000000"/>
                <w:szCs w:val="21"/>
                <w:lang w:val="en-US" w:eastAsia="zh-CN"/>
              </w:rPr>
              <w:t>09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1312" behindDoc="0" locked="0" layoutInCell="1" allowOverlap="1">
            <wp:simplePos x="0" y="0"/>
            <wp:positionH relativeFrom="column">
              <wp:posOffset>1688465</wp:posOffset>
            </wp:positionH>
            <wp:positionV relativeFrom="paragraph">
              <wp:posOffset>168275</wp:posOffset>
            </wp:positionV>
            <wp:extent cx="1116965" cy="5378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16965" cy="53784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2022年2月8日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590"/>
        <w:gridCol w:w="2346"/>
        <w:gridCol w:w="139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37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4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9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65"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378"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管理手册</w:t>
            </w:r>
            <w:r>
              <w:rPr>
                <w:rFonts w:hint="eastAsia"/>
                <w:color w:val="000000"/>
                <w:sz w:val="21"/>
                <w:szCs w:val="21"/>
                <w:lang w:eastAsia="zh-CN"/>
              </w:rPr>
              <w:t>》</w:t>
            </w:r>
            <w:r>
              <w:rPr>
                <w:rFonts w:hint="eastAsia"/>
                <w:color w:val="000000"/>
                <w:sz w:val="21"/>
                <w:szCs w:val="21"/>
                <w:lang w:val="en-US" w:eastAsia="zh-CN"/>
              </w:rPr>
              <w:t>识别无外包过程，与实际不符。</w:t>
            </w:r>
          </w:p>
        </w:tc>
        <w:tc>
          <w:tcPr>
            <w:tcW w:w="2346"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391"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065"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437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346" w:type="dxa"/>
            <w:vAlign w:val="center"/>
          </w:tcPr>
          <w:p>
            <w:pPr>
              <w:pStyle w:val="7"/>
              <w:pBdr>
                <w:bottom w:val="none" w:color="auto" w:sz="0" w:space="0"/>
              </w:pBdr>
              <w:ind w:right="600"/>
              <w:jc w:val="both"/>
              <w:rPr>
                <w:color w:val="000000"/>
                <w:sz w:val="21"/>
                <w:szCs w:val="21"/>
              </w:rPr>
            </w:pPr>
          </w:p>
        </w:tc>
        <w:tc>
          <w:tcPr>
            <w:tcW w:w="1391" w:type="dxa"/>
            <w:vAlign w:val="center"/>
          </w:tcPr>
          <w:p>
            <w:pPr>
              <w:pStyle w:val="7"/>
              <w:pBdr>
                <w:bottom w:val="none" w:color="auto" w:sz="0" w:space="0"/>
              </w:pBdr>
              <w:ind w:right="600"/>
              <w:jc w:val="both"/>
              <w:rPr>
                <w:color w:val="000000"/>
                <w:sz w:val="21"/>
                <w:szCs w:val="21"/>
              </w:rPr>
            </w:pPr>
          </w:p>
        </w:tc>
        <w:tc>
          <w:tcPr>
            <w:tcW w:w="1065"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437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346" w:type="dxa"/>
            <w:vAlign w:val="center"/>
          </w:tcPr>
          <w:p>
            <w:pPr>
              <w:pStyle w:val="7"/>
              <w:pBdr>
                <w:bottom w:val="none" w:color="auto" w:sz="0" w:space="0"/>
              </w:pBdr>
              <w:ind w:right="600"/>
              <w:jc w:val="both"/>
              <w:rPr>
                <w:color w:val="000000"/>
                <w:sz w:val="21"/>
                <w:szCs w:val="21"/>
              </w:rPr>
            </w:pPr>
          </w:p>
        </w:tc>
        <w:tc>
          <w:tcPr>
            <w:tcW w:w="1391" w:type="dxa"/>
            <w:vAlign w:val="center"/>
          </w:tcPr>
          <w:p>
            <w:pPr>
              <w:pStyle w:val="7"/>
              <w:pBdr>
                <w:bottom w:val="none" w:color="auto" w:sz="0" w:space="0"/>
              </w:pBdr>
              <w:ind w:right="600"/>
              <w:jc w:val="both"/>
              <w:rPr>
                <w:color w:val="000000"/>
                <w:sz w:val="21"/>
                <w:szCs w:val="21"/>
              </w:rPr>
            </w:pPr>
          </w:p>
        </w:tc>
        <w:tc>
          <w:tcPr>
            <w:tcW w:w="1065"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437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346" w:type="dxa"/>
            <w:vAlign w:val="center"/>
          </w:tcPr>
          <w:p>
            <w:pPr>
              <w:pStyle w:val="7"/>
              <w:pBdr>
                <w:bottom w:val="none" w:color="auto" w:sz="0" w:space="0"/>
              </w:pBdr>
              <w:ind w:right="600"/>
              <w:jc w:val="both"/>
              <w:rPr>
                <w:color w:val="000000"/>
                <w:sz w:val="21"/>
                <w:szCs w:val="21"/>
              </w:rPr>
            </w:pPr>
          </w:p>
        </w:tc>
        <w:tc>
          <w:tcPr>
            <w:tcW w:w="1391" w:type="dxa"/>
            <w:vAlign w:val="center"/>
          </w:tcPr>
          <w:p>
            <w:pPr>
              <w:pStyle w:val="7"/>
              <w:pBdr>
                <w:bottom w:val="none" w:color="auto" w:sz="0" w:space="0"/>
              </w:pBdr>
              <w:ind w:right="600"/>
              <w:jc w:val="both"/>
              <w:rPr>
                <w:color w:val="000000"/>
                <w:sz w:val="21"/>
                <w:szCs w:val="21"/>
              </w:rPr>
            </w:pPr>
          </w:p>
        </w:tc>
        <w:tc>
          <w:tcPr>
            <w:tcW w:w="1065"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rPr>
              <w:drawing>
                <wp:anchor distT="0" distB="0" distL="114300" distR="114300" simplePos="0" relativeHeight="251662336" behindDoc="0" locked="0" layoutInCell="1" allowOverlap="1">
                  <wp:simplePos x="0" y="0"/>
                  <wp:positionH relativeFrom="column">
                    <wp:posOffset>781685</wp:posOffset>
                  </wp:positionH>
                  <wp:positionV relativeFrom="paragraph">
                    <wp:posOffset>145415</wp:posOffset>
                  </wp:positionV>
                  <wp:extent cx="1116965" cy="53784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16965" cy="53784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4384" behindDoc="0" locked="0" layoutInCell="1" allowOverlap="1">
                  <wp:simplePos x="0" y="0"/>
                  <wp:positionH relativeFrom="column">
                    <wp:posOffset>1028700</wp:posOffset>
                  </wp:positionH>
                  <wp:positionV relativeFrom="paragraph">
                    <wp:posOffset>53340</wp:posOffset>
                  </wp:positionV>
                  <wp:extent cx="603250" cy="406400"/>
                  <wp:effectExtent l="0" t="0" r="635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03250" cy="40640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bookmarkStart w:id="31" w:name="_GoBack"/>
            <w:bookmarkEnd w:id="31"/>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3360" behindDoc="0" locked="0" layoutInCell="1" allowOverlap="1">
                  <wp:simplePos x="0" y="0"/>
                  <wp:positionH relativeFrom="column">
                    <wp:posOffset>394335</wp:posOffset>
                  </wp:positionH>
                  <wp:positionV relativeFrom="paragraph">
                    <wp:posOffset>47625</wp:posOffset>
                  </wp:positionV>
                  <wp:extent cx="1116965" cy="537845"/>
                  <wp:effectExtent l="0" t="0" r="0" b="0"/>
                  <wp:wrapNone/>
                  <wp:docPr id="5"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0904151347"/>
                          <pic:cNvPicPr>
                            <a:picLocks noChangeAspect="1"/>
                          </pic:cNvPicPr>
                        </pic:nvPicPr>
                        <pic:blipFill>
                          <a:blip r:embed="rId6"/>
                          <a:stretch>
                            <a:fillRect/>
                          </a:stretch>
                        </pic:blipFill>
                        <pic:spPr>
                          <a:xfrm>
                            <a:off x="0" y="0"/>
                            <a:ext cx="1116965" cy="537845"/>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7A2920"/>
    <w:rsid w:val="55566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2022-02-18T03:24:51Z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