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0041-2021-2022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250"/>
        <w:gridCol w:w="1122"/>
        <w:gridCol w:w="959"/>
        <w:gridCol w:w="661"/>
        <w:gridCol w:w="1261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282" w:type="dxa"/>
            <w:gridSpan w:val="4"/>
            <w:vAlign w:val="top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机动车尾气遥感监测系统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示值误差测量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工程部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2081" w:type="dxa"/>
            <w:gridSpan w:val="2"/>
            <w:vMerge w:val="restart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>JJG（京）45-2011遥感式汽油车排放有害气体检测仪检定规程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示值误差：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最大允许误差±10%</w:t>
            </w:r>
          </w:p>
        </w:tc>
        <w:tc>
          <w:tcPr>
            <w:tcW w:w="192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2081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2081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922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0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6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7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261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标准气体CO</w:t>
            </w:r>
          </w:p>
        </w:tc>
        <w:tc>
          <w:tcPr>
            <w:tcW w:w="137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0.5×10</w:t>
            </w:r>
            <w:r>
              <w:rPr>
                <w:rFonts w:hint="eastAsia" w:ascii="Times New Roman" w:hAnsi="Times New Roman" w:cs="Times New Roman"/>
                <w:szCs w:val="21"/>
                <w:vertAlign w:val="superscript"/>
              </w:rPr>
              <w:t>-2</w:t>
            </w:r>
            <w:r>
              <w:rPr>
                <w:rFonts w:hint="eastAsia" w:ascii="Times New Roman" w:hAnsi="Times New Roman" w:cs="Times New Roman"/>
                <w:szCs w:val="21"/>
              </w:rPr>
              <w:t>、1.00×10</w:t>
            </w:r>
            <w:r>
              <w:rPr>
                <w:rFonts w:hint="eastAsia" w:ascii="Times New Roman" w:hAnsi="Times New Roman" w:cs="Times New Roman"/>
                <w:szCs w:val="21"/>
                <w:vertAlign w:val="superscript"/>
              </w:rPr>
              <w:t>-2</w:t>
            </w:r>
            <w:r>
              <w:rPr>
                <w:rFonts w:hint="eastAsia" w:ascii="Times New Roman" w:hAnsi="Times New Roman" w:cs="Times New Roman"/>
                <w:szCs w:val="21"/>
              </w:rPr>
              <w:t>、2.70×10</w:t>
            </w:r>
            <w:r>
              <w:rPr>
                <w:rFonts w:hint="eastAsia" w:ascii="Times New Roman" w:hAnsi="Times New Roman" w:cs="Times New Roman"/>
                <w:szCs w:val="21"/>
                <w:vertAlign w:val="superscript"/>
              </w:rPr>
              <w:t>-2</w:t>
            </w:r>
            <w:r>
              <w:rPr>
                <w:rFonts w:hint="eastAsia" w:ascii="Times New Roman" w:hAnsi="Times New Roman" w:cs="Times New Roman"/>
                <w:szCs w:val="21"/>
              </w:rPr>
              <w:t>、5.00×10</w:t>
            </w:r>
            <w:r>
              <w:rPr>
                <w:rFonts w:hint="eastAsia" w:ascii="Times New Roman" w:hAnsi="Times New Roman" w:cs="Times New Roman"/>
                <w:szCs w:val="21"/>
                <w:vertAlign w:val="superscript"/>
              </w:rPr>
              <w:t>-2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相对扩展不确定度2%（k=2）</w:t>
            </w:r>
          </w:p>
        </w:tc>
        <w:tc>
          <w:tcPr>
            <w:tcW w:w="1261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标准气体CO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lang w:val="en-US" w:eastAsia="zh-CN"/>
              </w:rPr>
              <w:t>HNCC-GK-01</w:t>
            </w:r>
          </w:p>
        </w:tc>
        <w:tc>
          <w:tcPr>
            <w:tcW w:w="1418" w:type="dxa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6"/>
            <w:vAlign w:val="top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>JJG（京）45-2011</w:t>
            </w:r>
          </w:p>
        </w:tc>
        <w:tc>
          <w:tcPr>
            <w:tcW w:w="1418" w:type="dxa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6"/>
            <w:vAlign w:val="top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温度（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</w:rPr>
              <w:t>～</w:t>
            </w:r>
            <w:r>
              <w:rPr>
                <w:rFonts w:hint="eastAsia" w:ascii="宋体" w:hAnsi="宋体" w:eastAsia="宋体" w:cs="Times New Roman"/>
                <w:lang w:val="en-US" w:eastAsia="zh-CN"/>
              </w:rPr>
              <w:t>45</w:t>
            </w:r>
            <w:r>
              <w:rPr>
                <w:rFonts w:hint="eastAsia" w:ascii="Times New Roman" w:hAnsi="Times New Roman" w:cs="Times New Roman"/>
              </w:rPr>
              <w:t>）</w:t>
            </w:r>
            <w:r>
              <w:rPr>
                <w:rFonts w:hint="eastAsia" w:cs="Times New Roman" w:asciiTheme="minorEastAsia" w:hAnsiTheme="minorEastAsia"/>
              </w:rPr>
              <w:t>℃</w:t>
            </w:r>
            <w:r>
              <w:rPr>
                <w:rFonts w:hint="eastAsia" w:ascii="Times New Roman" w:hAnsi="Times New Roman" w:cs="Times New Roman"/>
              </w:rPr>
              <w:t>，湿度≤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80</w:t>
            </w:r>
            <w:r>
              <w:rPr>
                <w:rFonts w:hint="eastAsia"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/>
              </w:rPr>
              <w:t>RH</w:t>
            </w:r>
            <w:r>
              <w:rPr>
                <w:rFonts w:hint="eastAsia" w:ascii="Times New Roman" w:hAnsi="Times New Roman" w:cs="Times New Roman"/>
              </w:rPr>
              <w:t>，大气压（</w:t>
            </w:r>
            <w:r>
              <w:rPr>
                <w:rFonts w:hint="eastAsia" w:ascii="宋体" w:hAnsi="宋体"/>
                <w:szCs w:val="21"/>
              </w:rPr>
              <w:t>(86</w:t>
            </w:r>
            <w:r>
              <w:rPr>
                <w:rFonts w:ascii="宋体" w:hAnsi="宋体"/>
                <w:szCs w:val="21"/>
              </w:rPr>
              <w:t>-106)kPa</w:t>
            </w:r>
          </w:p>
        </w:tc>
        <w:tc>
          <w:tcPr>
            <w:tcW w:w="1418" w:type="dxa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6"/>
            <w:vAlign w:val="top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郭凯洋</w:t>
            </w:r>
          </w:p>
        </w:tc>
        <w:tc>
          <w:tcPr>
            <w:tcW w:w="1418" w:type="dxa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6"/>
            <w:vAlign w:val="top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见附件</w:t>
            </w:r>
          </w:p>
        </w:tc>
        <w:tc>
          <w:tcPr>
            <w:tcW w:w="1418" w:type="dxa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6"/>
            <w:vAlign w:val="top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见附件</w:t>
            </w:r>
          </w:p>
        </w:tc>
        <w:tc>
          <w:tcPr>
            <w:tcW w:w="1418" w:type="dxa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6"/>
            <w:vAlign w:val="top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见附件</w:t>
            </w:r>
          </w:p>
        </w:tc>
        <w:tc>
          <w:tcPr>
            <w:tcW w:w="1418" w:type="dxa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6"/>
            <w:tcBorders>
              <w:top w:val="nil"/>
            </w:tcBorders>
            <w:vAlign w:val="top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无</w:t>
            </w:r>
          </w:p>
        </w:tc>
        <w:tc>
          <w:tcPr>
            <w:tcW w:w="1418" w:type="dxa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9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1．测量过程控制规范编制满足要求；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2. 测量过程要素如，测量设备、测量方法、环境条件、人员操作技能受控；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3. 测量过程不确定度评定方法正确；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4.</w:t>
            </w:r>
            <w:r>
              <w:rPr>
                <w:rFonts w:ascii="Times New Roman" w:hAnsi="Times New Roman" w:cs="Times New Roman"/>
              </w:rPr>
              <w:t xml:space="preserve"> 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5. 测量过程监视在控制限内，测量过程控制图绘制方法正确。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5111750</wp:posOffset>
            </wp:positionH>
            <wp:positionV relativeFrom="paragraph">
              <wp:posOffset>54610</wp:posOffset>
            </wp:positionV>
            <wp:extent cx="539750" cy="249555"/>
            <wp:effectExtent l="0" t="0" r="6350" b="444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vertAlign w:val="baseline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3055620</wp:posOffset>
            </wp:positionH>
            <wp:positionV relativeFrom="paragraph">
              <wp:posOffset>29210</wp:posOffset>
            </wp:positionV>
            <wp:extent cx="372110" cy="286385"/>
            <wp:effectExtent l="0" t="0" r="8890" b="5715"/>
            <wp:wrapNone/>
            <wp:docPr id="93" name="图片 93" descr="577475f2d71659eed95b546a81c2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 descr="577475f2d71659eed95b546a81c2d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2110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审核日期：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</w:t>
      </w:r>
      <w:r>
        <w:rPr>
          <w:rFonts w:hint="eastAsia" w:ascii="Times New Roman" w:hAnsi="Times New Roman" w:eastAsia="宋体" w:cs="Times New Roman"/>
          <w:szCs w:val="21"/>
        </w:rPr>
        <w:t xml:space="preserve">日           审核员： 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bookmarkStart w:id="1" w:name="_GoBack"/>
      <w:bookmarkEnd w:id="1"/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DE456A"/>
    <w:rsid w:val="54357B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482</Characters>
  <Lines>4</Lines>
  <Paragraphs>1</Paragraphs>
  <TotalTime>1</TotalTime>
  <ScaleCrop>false</ScaleCrop>
  <LinksUpToDate>false</LinksUpToDate>
  <CharactersWithSpaces>565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2022-02-24T23:22:52Z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EC5437A6BC694061BC86D973E56E7573</vt:lpwstr>
  </property>
</Properties>
</file>