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19"/>
        <w:gridCol w:w="819"/>
        <w:gridCol w:w="7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四川永强昇辉家具有限公司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tabs>
                <w:tab w:val="left" w:pos="108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产品的生产工艺流程图：客户来图-设计-确认订单-下料-洗型-压胶-台面-下脚-封边-排孔-贴皮-刮灰-底漆-干砂-面漆-试装-检验-打包-运输。</w:t>
            </w:r>
          </w:p>
          <w:p>
            <w:pPr>
              <w:tabs>
                <w:tab w:val="left" w:pos="108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产品销售、服务流程图：客户需求----签订合同---进行采购----产品检验----交付客户---验收。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主要质量控制工序：</w:t>
            </w:r>
            <w:r>
              <w:rPr>
                <w:rFonts w:hint="eastAsia"/>
                <w:sz w:val="21"/>
                <w:szCs w:val="21"/>
              </w:rPr>
              <w:t>洗型、压胶、底漆、面漆等工序，按作业文件和检验标准控制，</w:t>
            </w:r>
            <w:r>
              <w:rPr>
                <w:rFonts w:hint="eastAsia" w:ascii="宋体" w:hAnsi="宋体"/>
                <w:sz w:val="21"/>
                <w:szCs w:val="21"/>
              </w:rPr>
              <w:t>存在尺寸、外观和漆层附着力不合格等风险。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pacing w:line="400" w:lineRule="exact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家具制图QB 1338-1991；办公家具 办公椅QB/T 2280-2016；木家具通用技术条件GB/T 3324-2017；木家具表面涂装技术表面QB/T 4461-2013；办公家具 木制柜、架GB/T 14532-2017；办公家具 阅览桌、椅、凳GB/T 14531-2017；家具制造业防尘防毒技术规范AQ 4211-2010；家具生产企业安全生产标准化规范AQ/T 7010-2013；家具制造业手动喷漆房通风设施 技术规程AQ/T 4275-2016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验收项目：尺寸、外观、有毒有害物质含量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106045</wp:posOffset>
                  </wp:positionV>
                  <wp:extent cx="424815" cy="433705"/>
                  <wp:effectExtent l="0" t="0" r="13335" b="4445"/>
                  <wp:wrapSquare wrapText="bothSides"/>
                  <wp:docPr id="1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158115</wp:posOffset>
                  </wp:positionV>
                  <wp:extent cx="424815" cy="433705"/>
                  <wp:effectExtent l="0" t="0" r="13335" b="4445"/>
                  <wp:wrapSquare wrapText="bothSides"/>
                  <wp:docPr id="3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1"/>
        <w:gridCol w:w="919"/>
        <w:gridCol w:w="819"/>
        <w:gridCol w:w="796"/>
        <w:gridCol w:w="1289"/>
        <w:gridCol w:w="1507"/>
        <w:gridCol w:w="189"/>
        <w:gridCol w:w="153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3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四川永强昇辉家具有限公司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3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796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8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产品的生产工艺流程图：客户来图-设计-确认订单-下料-洗型-压胶-台面-下脚-封边-排孔-贴皮-刮灰-底漆-干砂-面漆-试装-检验-打包-运输。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产品销售、服务流程图：客户需求----签订合同---进行采购----产品检验----交付客户---验收。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8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重要环境因素：噪声、粉尘、火灾、有害气体等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8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GB16297-1996大气污染物综合排放标准、中华人民共和国环境噪声污染防治法、GB12348-2008工业企业厂界噪声排放标准、四川省城市环境噪声管理暂行办法、中华人民共和国消防法家具制图Q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B 1338-1991；办公家具 办公椅QB/T 2280-2016；木家具通用技术条件GB/T 3324-2017；木家具表面涂装技术表面QB/T 4461-2013；办公家具 木制柜、架GB/T 14532-2017；办公家具 阅览桌、椅、凳GB/T 14531-2017等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8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106045</wp:posOffset>
                  </wp:positionV>
                  <wp:extent cx="424815" cy="433705"/>
                  <wp:effectExtent l="0" t="0" r="13335" b="4445"/>
                  <wp:wrapSquare wrapText="bothSides"/>
                  <wp:docPr id="6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158115</wp:posOffset>
                  </wp:positionV>
                  <wp:extent cx="424815" cy="433705"/>
                  <wp:effectExtent l="0" t="0" r="13335" b="4445"/>
                  <wp:wrapSquare wrapText="bothSides"/>
                  <wp:docPr id="7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19"/>
        <w:gridCol w:w="819"/>
        <w:gridCol w:w="7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四川永强昇辉家具有限公司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产品的生产工艺流程图：客户来图-设计-确认订单-下料-洗型-压胶-台面-下脚-封边-排孔-贴皮-刮灰-底漆-干砂-面漆-试装-检验-打包-运输。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产品销售、服务流程图：客户需求----签订合同---进行采购----产品检验----交付客户---验收。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重大危险源：火灾、中暑、触电、机械伤害、物体打击等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中华人民共和国职业病防治法、四川省消防条例、中华人民共和国安全生产法、中华人民共和国消防法中华人民共和国消防法家具制图QB 1338-1991；办公家具 办公椅QB/T 2280-2016；木家具通用技术条件GB/T 3324-2017；木家具表面涂装技术表面QB/T 4461-2013；办公家具 木制柜、架GB/T 14532-2017；办公家具 阅览桌、椅、凳GB/T 14531-2017等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106045</wp:posOffset>
                  </wp:positionV>
                  <wp:extent cx="424815" cy="433705"/>
                  <wp:effectExtent l="0" t="0" r="13335" b="4445"/>
                  <wp:wrapSquare wrapText="bothSides"/>
                  <wp:docPr id="10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158115</wp:posOffset>
                  </wp:positionV>
                  <wp:extent cx="424815" cy="433705"/>
                  <wp:effectExtent l="0" t="0" r="13335" b="4445"/>
                  <wp:wrapSquare wrapText="bothSides"/>
                  <wp:docPr id="11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2022年01月24日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04F07245"/>
    <w:rsid w:val="077D40EB"/>
    <w:rsid w:val="0847434F"/>
    <w:rsid w:val="096A0856"/>
    <w:rsid w:val="097E7AC3"/>
    <w:rsid w:val="099E3CC2"/>
    <w:rsid w:val="0AAE262A"/>
    <w:rsid w:val="0EF16F8A"/>
    <w:rsid w:val="0FE268D2"/>
    <w:rsid w:val="12B44556"/>
    <w:rsid w:val="14B30CFC"/>
    <w:rsid w:val="16E82A20"/>
    <w:rsid w:val="17281B40"/>
    <w:rsid w:val="177469AA"/>
    <w:rsid w:val="1C1C4F1A"/>
    <w:rsid w:val="1E0F4D36"/>
    <w:rsid w:val="1F7E2174"/>
    <w:rsid w:val="2059673D"/>
    <w:rsid w:val="208C266E"/>
    <w:rsid w:val="255E7069"/>
    <w:rsid w:val="25BD32CA"/>
    <w:rsid w:val="272C05D7"/>
    <w:rsid w:val="311A1F18"/>
    <w:rsid w:val="31216E03"/>
    <w:rsid w:val="318F6462"/>
    <w:rsid w:val="3DEB4A20"/>
    <w:rsid w:val="3F813380"/>
    <w:rsid w:val="4349171E"/>
    <w:rsid w:val="43572B58"/>
    <w:rsid w:val="439873F8"/>
    <w:rsid w:val="44C10289"/>
    <w:rsid w:val="4A404346"/>
    <w:rsid w:val="4F271630"/>
    <w:rsid w:val="50033CFC"/>
    <w:rsid w:val="50504BB7"/>
    <w:rsid w:val="54E6546D"/>
    <w:rsid w:val="552F7491"/>
    <w:rsid w:val="5EA52572"/>
    <w:rsid w:val="692C3FBB"/>
    <w:rsid w:val="6EDD3662"/>
    <w:rsid w:val="77D777E8"/>
    <w:rsid w:val="77EB3293"/>
    <w:rsid w:val="78650950"/>
    <w:rsid w:val="787B0173"/>
    <w:rsid w:val="7B3665D4"/>
    <w:rsid w:val="7EF04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2022-01-24T07:10:17Z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