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受审核部门：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   主管领导：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张国源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   陪同人员：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骆路云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审核员：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林兵、李大方（提供技术支持）    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 审核时间：202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22  上午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5.3组织的角色、职责和权限；6.1.2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/6.1.4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环境因素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辨识和职业安全风险评价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及其控制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；6.2目标及其实现的策划；8.1运行策划和控制；8.2应急准备和响应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</w:rPr>
              <w:t>组织的岗位职责和权限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b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eastAsia="zh-CN"/>
              </w:rPr>
              <w:t>E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</w:rPr>
              <w:t>5.3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b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  <w:t>提供的HTZ EMS 301《员工岗位环境管理职责》明确规定生产部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主要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职责内容如下：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负责公司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环境合规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运作，组织解决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中的重大技术问题；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确定、提供和维护所需的基础设施和工作环境，确保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管理符合体系的要求；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负责组织均衡、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环保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生产；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负责机械设备管理，确保设备正常、稳定运行。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协助对重大事故的调查分析和处理；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负责公司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环保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生产管理工作。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负责公司预案的监控实施。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</w:rPr>
              <w:t>与部门负责人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张国源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</w:rPr>
              <w:t>沟通，了解本部门的职责权限。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before="120" w:line="320" w:lineRule="exact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环境因素及其控制</w:t>
            </w:r>
          </w:p>
        </w:tc>
        <w:tc>
          <w:tcPr>
            <w:tcW w:w="1311" w:type="dxa"/>
          </w:tcPr>
          <w:p>
            <w:pPr>
              <w:spacing w:before="120" w:line="320" w:lineRule="exact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E6.1.2/6.1.4</w:t>
            </w:r>
          </w:p>
          <w:p>
            <w:pPr>
              <w:spacing w:before="120" w:line="320" w:lineRule="exact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snapToGrid w:val="0"/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现场提供了《环境因素识别和评价控制程序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，对环境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因素的识别、评价结果、控制手段等做出了规定。</w:t>
            </w:r>
          </w:p>
          <w:p>
            <w:pPr>
              <w:spacing w:line="400" w:lineRule="exact"/>
              <w:ind w:firstLine="42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部门负责人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张国源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介绍了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辨识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组织从作业地点、作业活动去辨识环境因素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，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对可能的造成污染的环境因素作出评估，并制定了相应的控制措施。</w:t>
            </w:r>
          </w:p>
          <w:p>
            <w:pPr>
              <w:spacing w:line="400" w:lineRule="exact"/>
              <w:ind w:firstLine="42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查提个的《内部重要环境因素汇总表》（2020年11月10日 ），涉及生产部的主要识别内容较多，约19项； 识别内容完整，抽查部分内容如下： </w:t>
            </w:r>
          </w:p>
          <w:tbl>
            <w:tblPr>
              <w:tblStyle w:val="11"/>
              <w:tblW w:w="98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8"/>
              <w:gridCol w:w="540"/>
              <w:gridCol w:w="2457"/>
              <w:gridCol w:w="2583"/>
              <w:gridCol w:w="874"/>
              <w:gridCol w:w="874"/>
              <w:gridCol w:w="19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2" w:hRule="atLeast"/>
                <w:tblHeader/>
              </w:trPr>
              <w:tc>
                <w:tcPr>
                  <w:tcW w:w="648" w:type="dxa"/>
                  <w:vMerge w:val="restart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540" w:type="dxa"/>
                  <w:vMerge w:val="restart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2457" w:type="dxa"/>
                  <w:vMerge w:val="restar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/>
                      <w:color w:val="auto"/>
                      <w:sz w:val="18"/>
                      <w:szCs w:val="18"/>
                    </w:rPr>
                    <w:t>活动</w:t>
                  </w:r>
                  <w:r>
                    <w:rPr>
                      <w:rFonts w:ascii="黑体"/>
                      <w:color w:val="auto"/>
                      <w:sz w:val="18"/>
                      <w:szCs w:val="18"/>
                    </w:rPr>
                    <w:t>/</w:t>
                  </w:r>
                  <w:r>
                    <w:rPr>
                      <w:rFonts w:hint="eastAsia" w:ascii="黑体"/>
                      <w:color w:val="auto"/>
                      <w:sz w:val="18"/>
                      <w:szCs w:val="18"/>
                    </w:rPr>
                    <w:t>产品/服务</w:t>
                  </w:r>
                </w:p>
              </w:tc>
              <w:tc>
                <w:tcPr>
                  <w:tcW w:w="2583" w:type="dxa"/>
                  <w:vMerge w:val="restar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/>
                      <w:color w:val="auto"/>
                      <w:sz w:val="18"/>
                      <w:szCs w:val="18"/>
                    </w:rPr>
                    <w:t>重要环境因素</w:t>
                  </w:r>
                </w:p>
              </w:tc>
              <w:tc>
                <w:tcPr>
                  <w:tcW w:w="3654" w:type="dxa"/>
                  <w:gridSpan w:val="3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7" w:hRule="atLeast"/>
                <w:tblHeader/>
              </w:trPr>
              <w:tc>
                <w:tcPr>
                  <w:tcW w:w="648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83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目标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方案</w:t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文件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97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restart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资源消耗</w:t>
                  </w:r>
                </w:p>
              </w:tc>
              <w:tc>
                <w:tcPr>
                  <w:tcW w:w="245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正常的生产</w:t>
                  </w:r>
                </w:p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（蒸球、打桨、漂洗、造纸机、烘干等）</w:t>
                  </w: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水的消耗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能资源控制程序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7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电的消耗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能资源控制程序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7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蒸汽的消耗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能资源控制程序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6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废水</w:t>
                  </w:r>
                </w:p>
              </w:tc>
              <w:tc>
                <w:tcPr>
                  <w:tcW w:w="24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正常的生产</w:t>
                  </w:r>
                </w:p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（蒸球、打桨、漂洗、清洗、造纸机、烘干、碱处理、化验、办公活动、炊事等）</w:t>
                  </w: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废水的排放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废水控制程序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6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restart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锅炉的使用</w:t>
                  </w: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废气的排放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废气控制程序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66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污水处理使用</w:t>
                  </w: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废气的排放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废气控制程序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6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restart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固</w:t>
                  </w:r>
                </w:p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废</w:t>
                  </w:r>
                </w:p>
              </w:tc>
              <w:tc>
                <w:tcPr>
                  <w:tcW w:w="245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设备设施的使用、维修</w:t>
                  </w:r>
                </w:p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（如：发电机、气泵、货梯、造纸机、电动葫芦等）</w:t>
                  </w: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油类包装物的废弃</w:t>
                  </w:r>
                </w:p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（柴油、机油、润滑油等）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固废控制程序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6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沾油擦布、手套等的废弃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固废控制程序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6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报废机油的废弃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固废控制程序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66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浸泡、清洗、碱处理</w:t>
                  </w: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沾酸或碱劳保用品的废弃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固废控制程序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6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柴油叉车的使用</w:t>
                  </w: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电瓶的废弃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固废控制程序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6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污水处理</w:t>
                  </w:r>
                </w:p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  <w:lang w:eastAsia="zh-CN"/>
                    </w:rPr>
                    <w:t>含重金属污水处理、</w:t>
                  </w: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气浮、中和沉淀、污泥脱水等）</w:t>
                  </w: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污泥的排放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固废控制程序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6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噪声</w:t>
                  </w:r>
                </w:p>
              </w:tc>
              <w:tc>
                <w:tcPr>
                  <w:tcW w:w="24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生产设备的使用</w:t>
                  </w:r>
                </w:p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（如：发电机、气泵、漂洗、造纸机等）</w:t>
                  </w: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噪声的排放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噪声控制程序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7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restart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潜在的安全隐患</w:t>
                  </w:r>
                </w:p>
              </w:tc>
              <w:tc>
                <w:tcPr>
                  <w:tcW w:w="245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正常的生产、办公活动</w:t>
                  </w:r>
                </w:p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（如：发电机的使用、电焊、变压器的使用、物料的贮存、日常办公、日常炊事、天然气储存和使用等）</w:t>
                  </w: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潜在的触电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6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潜在的火灾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6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化学品的贮存、使用</w:t>
                  </w:r>
                </w:p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（如：浸泡、HF的贮存、HCI的贮存、漂洗、气割、气瓶的贮存、酸析反应、）</w:t>
                  </w: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潜在化学品的泄漏</w:t>
                  </w:r>
                </w:p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（如：酸、柴油等）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6" w:hRule="atLeast"/>
              </w:trPr>
              <w:tc>
                <w:tcPr>
                  <w:tcW w:w="648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变压器的使用、气割、气瓶的贮存、锅炉的使用</w:t>
                  </w:r>
                </w:p>
              </w:tc>
              <w:tc>
                <w:tcPr>
                  <w:tcW w:w="25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潜在的爆炸</w:t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ind w:right="-2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874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sym w:font="Wingdings 2" w:char="F050"/>
                  </w:r>
                </w:p>
              </w:tc>
              <w:tc>
                <w:tcPr>
                  <w:tcW w:w="1906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黑体" w:hAnsi="PMingLiU"/>
                      <w:color w:val="auto"/>
                      <w:sz w:val="18"/>
                      <w:szCs w:val="18"/>
                    </w:rPr>
                    <w:t>应急预案</w:t>
                  </w:r>
                </w:p>
              </w:tc>
            </w:tr>
          </w:tbl>
          <w:p>
            <w:pPr>
              <w:pStyle w:val="2"/>
              <w:rPr>
                <w:rFonts w:hint="default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重要环境因素的识别和控制策划较为完善。</w:t>
            </w:r>
          </w:p>
          <w:p>
            <w:pPr>
              <w:spacing w:line="400" w:lineRule="exact"/>
              <w:ind w:firstLine="420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询问生产部有关负责人张国源了解到，组织识别的环境因素无重大环境因素，基本满足辨识和控制要求。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</w:rPr>
              <w:t>目标及其实现的策划总要求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eastAsia="zh-CN"/>
              </w:rPr>
              <w:t>E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</w:rPr>
              <w:t>6.2</w:t>
            </w:r>
          </w:p>
          <w:p>
            <w:pPr>
              <w:spacing w:line="360" w:lineRule="auto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等线" w:hAnsi="等线" w:eastAsia="等线" w:cs="等线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pStyle w:val="24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default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组织规定的目标如下：</w:t>
            </w:r>
          </w:p>
          <w:p>
            <w:pPr>
              <w:pStyle w:val="24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ascii="等线" w:hAnsi="等线" w:eastAsia="宋体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TW" w:bidi="ar-SA"/>
              </w:rPr>
              <w:t>1)</w:t>
            </w:r>
            <w:r>
              <w:rPr>
                <w:rFonts w:hint="eastAsia"/>
                <w:szCs w:val="21"/>
              </w:rPr>
              <w:t>确保工业废水达标排放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pStyle w:val="24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TW"/>
              </w:rPr>
              <w:t>2)</w:t>
            </w:r>
            <w:r>
              <w:rPr>
                <w:rFonts w:hint="eastAsia"/>
                <w:szCs w:val="21"/>
              </w:rPr>
              <w:t>确保锅炉烟气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污水池废气</w:t>
            </w:r>
            <w:r>
              <w:rPr>
                <w:rFonts w:hint="eastAsia"/>
                <w:szCs w:val="21"/>
              </w:rPr>
              <w:t>达标排放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pStyle w:val="24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TW"/>
              </w:rPr>
              <w:t>3)</w:t>
            </w:r>
            <w:r>
              <w:rPr>
                <w:rFonts w:hint="eastAsia"/>
                <w:szCs w:val="21"/>
              </w:rPr>
              <w:t>火灾事故为0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pStyle w:val="24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4）</w:t>
            </w:r>
            <w:r>
              <w:rPr>
                <w:rFonts w:hint="eastAsia"/>
                <w:szCs w:val="21"/>
              </w:rPr>
              <w:t>危废控制率100%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pStyle w:val="24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5）</w:t>
            </w:r>
            <w:r>
              <w:rPr>
                <w:rFonts w:hint="eastAsia"/>
                <w:szCs w:val="21"/>
              </w:rPr>
              <w:t>危险化学品泄露事故为0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pStyle w:val="24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部门分解目标与组织目标和方针整体一致，可测量，并传达到部门相关人员，必要时适时更新，目前无变化。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提供《部门生产目标分解、实施计划》、2021年度1-11月《生产目标完成情况监视记录》等显示，生产部（生命科学事业部、滤纸事业部、钢纸事业部等）涉及的目标均已达成，符合监视要求。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09" w:type="dxa"/>
          </w:tcPr>
          <w:p>
            <w:pPr>
              <w:spacing w:before="120" w:line="320" w:lineRule="exact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运行控制</w:t>
            </w:r>
          </w:p>
        </w:tc>
        <w:tc>
          <w:tcPr>
            <w:tcW w:w="1311" w:type="dxa"/>
          </w:tcPr>
          <w:p>
            <w:pPr>
              <w:spacing w:before="120" w:line="320" w:lineRule="exact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E8.1</w:t>
            </w:r>
          </w:p>
          <w:p>
            <w:pPr>
              <w:spacing w:before="120" w:line="320" w:lineRule="exact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组织编制了《废水控制程序》、《废气控制程序》、《固废控制程序》、《噪声控制程序》、《环境因素识别和评价控制程序》等过程控制文件，依据文件要求及生产工艺流程（滤纸：化纤、木浆、玻纤--纸机--复合原纸--胶粘合--检测--分切--包装--入库； 钢纸：棉浆、木浆--纸机--钢纸原纸--胶化--老化--脱盐--烘干--压光--收卷；），进行环境运行过程控制：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等线" w:hAnsi="等线" w:eastAsia="等线" w:cs="等线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1.生产现场环境运行控制</w:t>
            </w:r>
          </w:p>
          <w:p>
            <w:pPr>
              <w:spacing w:before="120" w:line="320" w:lineRule="exact"/>
              <w:ind w:firstLine="420" w:firstLineChars="200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1）查看现场主要环境因素：主要为设备运行的噪声、水电汽资源的消耗、冷却废水、设备清洗废水、胶化和胶盐生产线排出废水、危化品的泄露、危险废物的产生； </w:t>
            </w:r>
          </w:p>
          <w:p>
            <w:pPr>
              <w:pStyle w:val="2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2）现场环境因素管理：</w:t>
            </w:r>
          </w:p>
          <w:p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--提供现场环境因素运行检查表； </w:t>
            </w:r>
          </w:p>
          <w:p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--废水排入污水处理池； </w:t>
            </w:r>
          </w:p>
          <w:p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--噪声产生设备加垫减震垫，生产时关闭门窗； </w:t>
            </w:r>
          </w:p>
          <w:p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--危险化学品建立危化品库，使用处有包装容器及托盘； </w:t>
            </w:r>
          </w:p>
          <w:p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--危险废物，建立危废仓库，统一由办公室处置（交第三方有资质单位）； </w:t>
            </w:r>
          </w:p>
          <w:p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--资源消耗，通过日常检查减少浪费； </w:t>
            </w:r>
          </w:p>
          <w:p>
            <w:pPr>
              <w:pStyle w:val="4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--废气产生于锅炉房及污水处理站； 达标排放； </w:t>
            </w:r>
          </w:p>
          <w:p>
            <w:pPr>
              <w:pStyle w:val="4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--消防安全，配置消防栓及灭火器，每月点检；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等线" w:hAnsi="等线" w:eastAsia="等线" w:cs="等线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2.废水</w:t>
            </w:r>
          </w:p>
          <w:p>
            <w:pPr>
              <w:spacing w:before="120" w:line="320" w:lineRule="exact"/>
              <w:ind w:firstLine="420" w:firstLineChars="200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1）生产过程中产生废水过程：滤纸生产工艺，复合原纸干燥蒸馏水、纸浆搅拌后清洗等； 钢纸工艺，设备清洗、干燥蒸馏水、胶化废水、脱盐废水等； </w:t>
            </w:r>
          </w:p>
          <w:p>
            <w:pPr>
              <w:spacing w:before="120"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2）统一纳入污水处理站；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3）达标排放，部分作为生产回用水； </w:t>
            </w:r>
          </w:p>
          <w:p>
            <w:pPr>
              <w:spacing w:before="120" w:line="320" w:lineRule="exact"/>
              <w:rPr>
                <w:rFonts w:hint="default" w:ascii="等线" w:hAnsi="等线" w:eastAsia="等线" w:cs="等线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3.消防防火</w:t>
            </w:r>
          </w:p>
          <w:p>
            <w:pPr>
              <w:numPr>
                <w:ilvl w:val="0"/>
                <w:numId w:val="0"/>
              </w:numPr>
              <w:spacing w:before="120" w:line="320" w:lineRule="exact"/>
              <w:ind w:firstLine="420" w:firstLineChars="200"/>
              <w:rPr>
                <w:rFonts w:hint="default" w:ascii="等线" w:hAnsi="等线" w:eastAsia="等线" w:cs="等线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组织生产车间和办公区域配备了基本的消防设施，现场抽查卷纸区域和复合区域的消防灭火器，均在有效状态，且各处消防设施维护检查记录完整，均符合要求。</w:t>
            </w:r>
          </w:p>
          <w:p>
            <w:pPr>
              <w:numPr>
                <w:ilvl w:val="0"/>
                <w:numId w:val="0"/>
              </w:numPr>
              <w:spacing w:before="120" w:line="320" w:lineRule="exact"/>
              <w:rPr>
                <w:rFonts w:hint="default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4.危化品储存和使用管控</w:t>
            </w:r>
          </w:p>
          <w:p>
            <w:pPr>
              <w:numPr>
                <w:ilvl w:val="0"/>
                <w:numId w:val="0"/>
              </w:numPr>
              <w:spacing w:before="120" w:line="320" w:lineRule="exact"/>
              <w:ind w:firstLine="420" w:firstLineChars="200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1）组织的危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化品主要涉及氯化锌、次氯酸钠溶液、亚氯酸钠溶液、氧[压缩的]、乙炔、盐酸、液碱、氨水、天然气、锌粉、双氧水（27.5%）。</w:t>
            </w:r>
          </w:p>
          <w:p>
            <w:pPr>
              <w:numPr>
                <w:ilvl w:val="0"/>
                <w:numId w:val="0"/>
              </w:numPr>
              <w:spacing w:before="120" w:line="320" w:lineRule="exact"/>
              <w:ind w:firstLine="420" w:firstLineChars="200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2）现场抽查双氧水储存仓库、锌粉储存保险箱、盐酸等危化品储存仓库、乙炔和氧气瓶存放处等，有基本的防盗、防泄露措施，出入库记录完整，抽查双氧水、锌粉等的MSDS，均能为相关员工获取，符合控制要求。</w:t>
            </w:r>
          </w:p>
          <w:p>
            <w:pPr>
              <w:pStyle w:val="2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   3）主要化学品使用情况：双氧水主要使用于滤纸和钢纸后期漂白池车间，滚筒动力传输； 使用处有MSDS; 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氯化锌、次氯酸钠溶液、亚氯酸钠溶液、盐酸、锌粉等，使用于胶化工序配制池，按生产工艺要求进行配制，使用处可见MSDS及防泄露装置；配制好后由管道传输至胶化生产池；</w:t>
            </w:r>
          </w:p>
          <w:p>
            <w:pPr>
              <w:pStyle w:val="2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   4）车间有存放润滑油，放置于防泄露托盘中； </w:t>
            </w:r>
          </w:p>
          <w:p>
            <w:pPr>
              <w:pStyle w:val="2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   5）抽查危化品使用登记记录（氯化锌净化处理记录）：</w:t>
            </w:r>
          </w:p>
          <w:p>
            <w:pPr>
              <w:pStyle w:val="2"/>
              <w:rPr>
                <w:rFonts w:hint="default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      --查11月26日，日班，操作人：叶荣明，A储罐，锌粉200g，硫酸锌25kg,双氧水200kg，氯化锌比重1.930； 中班，操作人：包仕金，B储罐，锌粉200g，硫酸锌25kg,双氧水200kg，氯化锌比重1.935；  夜班，操作人：章国成，A储罐，锌粉200g，硫酸锌25kg,双氧水200kg，氯化锌比重1.935；</w:t>
            </w:r>
          </w:p>
          <w:p>
            <w:pPr>
              <w:numPr>
                <w:ilvl w:val="0"/>
                <w:numId w:val="0"/>
              </w:numPr>
              <w:spacing w:before="120" w:line="320" w:lineRule="exact"/>
              <w:rPr>
                <w:rFonts w:hint="eastAsia" w:ascii="等线" w:hAnsi="等线" w:eastAsia="等线" w:cs="等线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5.危险废物处置</w:t>
            </w:r>
          </w:p>
          <w:p>
            <w:pPr>
              <w:pStyle w:val="2"/>
              <w:rPr>
                <w:rFonts w:hint="eastAsia" w:ascii="等线" w:hAnsi="等线" w:eastAsia="等线" w:cs="等线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1）危险废物主要有边角料、废包装材料、废矿物油、危化品包装物、废活性碳； </w:t>
            </w:r>
          </w:p>
          <w:p>
            <w:pPr>
              <w:pStyle w:val="2"/>
              <w:rPr>
                <w:rFonts w:hint="eastAsia" w:ascii="等线" w:hAnsi="等线" w:eastAsia="等线" w:cs="等线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2）边角料作为回料生产再利用； 废包装材料收集后外卖综合利用； 未提供相关证据，现场审核时再确认； </w:t>
            </w:r>
          </w:p>
          <w:p>
            <w:pPr>
              <w:pStyle w:val="2"/>
              <w:rPr>
                <w:rFonts w:hint="eastAsia" w:ascii="等线" w:hAnsi="等线" w:eastAsia="等线" w:cs="等线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3）废矿物油、危化品包装物、废活性碳统一收集，存放危废仓库； 由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办公室统一交有资质的第三方处置，见办公室记录；进入库登记现场补充审核再确认； </w:t>
            </w:r>
          </w:p>
          <w:p>
            <w:pPr>
              <w:pStyle w:val="2"/>
              <w:rPr>
                <w:rFonts w:hint="eastAsia" w:ascii="等线" w:hAnsi="等线" w:eastAsia="等线" w:cs="等线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4）污水处理站污泥，统一收集，存放污泥仓库，由办公室统一交有资质的第三方处置，见办公室记录；进入库登记现场补充审核再确认； </w:t>
            </w:r>
          </w:p>
          <w:p>
            <w:pPr>
              <w:numPr>
                <w:ilvl w:val="0"/>
                <w:numId w:val="0"/>
              </w:numPr>
              <w:spacing w:before="120" w:line="320" w:lineRule="exact"/>
              <w:rPr>
                <w:rFonts w:hint="default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6.废气</w:t>
            </w:r>
          </w:p>
          <w:p>
            <w:pPr>
              <w:numPr>
                <w:ilvl w:val="0"/>
                <w:numId w:val="0"/>
              </w:numPr>
              <w:spacing w:before="120" w:line="320" w:lineRule="exact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1)产生废气主要为天燃气锅炉和污水处理站； </w:t>
            </w:r>
          </w:p>
          <w:p>
            <w:pPr>
              <w:pStyle w:val="2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2）天燃气锅炉，废气包括：颗粒物、二氧化硫、氮氧化物、烟所黑度达标排放；由办公室负责监测管理，具体见办公室记录； </w:t>
            </w:r>
          </w:p>
          <w:p>
            <w:pPr>
              <w:pStyle w:val="2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3）污水处理站，废气主要为臭氧浓度、NH</w:t>
            </w:r>
            <w:r>
              <w:rPr>
                <w:rFonts w:hint="eastAsia" w:ascii="等线" w:hAnsi="等线" w:eastAsia="等线" w:cs="等线"/>
                <w:vertAlign w:val="subscript"/>
                <w:lang w:val="en-US" w:eastAsia="zh-CN"/>
              </w:rPr>
              <w:t>4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、H</w:t>
            </w:r>
            <w:r>
              <w:rPr>
                <w:rFonts w:hint="eastAsia" w:ascii="等线" w:hAnsi="等线" w:eastAsia="等线" w:cs="等线"/>
                <w:vertAlign w:val="subscript"/>
                <w:lang w:val="en-US" w:eastAsia="zh-CN"/>
              </w:rPr>
              <w:t>2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S，经HV和活性碳吸附处理达标排放， 由办公室负责监测管理，具体见办公室记录； </w:t>
            </w:r>
          </w:p>
          <w:p>
            <w:pPr>
              <w:pStyle w:val="2"/>
              <w:rPr>
                <w:rFonts w:hint="eastAsia" w:ascii="等线" w:hAnsi="等线" w:eastAsia="等线" w:cs="等线"/>
                <w:b/>
                <w:bCs w:val="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lang w:val="en-US" w:eastAsia="zh-CN"/>
              </w:rPr>
              <w:t>7.污水处理站</w:t>
            </w:r>
          </w:p>
          <w:p>
            <w:pPr>
              <w:numPr>
                <w:ilvl w:val="0"/>
                <w:numId w:val="0"/>
              </w:numPr>
              <w:spacing w:before="120" w:line="320" w:lineRule="exact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 按《污水处理站管理制度汇编》进行操作，生产生活废水经管道排入污水处理站，经生化和中和处理后废水达标排放； 统一收集废气经HV和活性碳吸附处理达标排放; 产生的污泥为氯化锌回收站污泥；统一收集由办公室统一处置。</w:t>
            </w:r>
          </w:p>
          <w:p>
            <w:pPr>
              <w:pStyle w:val="2"/>
              <w:rPr>
                <w:rFonts w:hint="eastAsia" w:ascii="等线" w:hAnsi="等线" w:eastAsia="等线" w:cs="等线"/>
                <w:lang w:val="en-US" w:eastAsia="zh-CN"/>
              </w:rPr>
            </w:pPr>
          </w:p>
          <w:p>
            <w:pPr>
              <w:pStyle w:val="2"/>
              <w:rPr>
                <w:rFonts w:hint="default" w:ascii="等线" w:hAnsi="等线" w:eastAsia="等线" w:cs="等线"/>
                <w:b/>
                <w:bCs w:val="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lang w:val="en-US" w:eastAsia="zh-CN"/>
              </w:rPr>
              <w:t>8.锅炉房</w:t>
            </w:r>
          </w:p>
          <w:p>
            <w:pPr>
              <w:numPr>
                <w:ilvl w:val="0"/>
                <w:numId w:val="0"/>
              </w:numPr>
              <w:spacing w:before="120" w:line="320" w:lineRule="exact"/>
              <w:ind w:firstLine="210" w:firstLineChars="100"/>
              <w:rPr>
                <w:rFonts w:hint="default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按《锅炉房管理制度汇编》进行操作，锅炉房为天燃气锅炉，查锅炉运行工况能效测试报告：报告编号：SH2021J10393；锅炉型号：LSS6-1.6-Q；测试日期：2021年12月09日；测试结果：锅炉出力、热效率、排烟温度、过量空气系数均符合相应规程要求；排出废气；由办公室负责监测管理，具体见办公室记录；达标排放。</w:t>
            </w:r>
          </w:p>
          <w:p>
            <w:pPr>
              <w:numPr>
                <w:ilvl w:val="0"/>
                <w:numId w:val="0"/>
              </w:numPr>
              <w:spacing w:before="120" w:line="320" w:lineRule="exact"/>
              <w:ind w:firstLine="420" w:firstLineChars="200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安全阀校验报告（锅炉）：报告编号：SH2021A25369；出厂编号：190835502；检验结论：合格；检验日期：2021年4月27日；下次检验日期：2022年4月26日；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等线" w:hAnsi="等线" w:eastAsia="等线" w:cs="等线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color w:val="auto"/>
                <w:lang w:val="en-US" w:eastAsia="zh-CN"/>
              </w:rPr>
              <w:t>仓库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产品仓库分为原料、和成品仓库； 仓库内配置相关消防栓和灭火器； 现场补充审核再核实情况； 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危化品仓库，提供危化品仓库登记台账，查看有：易制毒化学品台账：盐酸；提供2021年6~12月盐酸出入库登记记录：查：8月17日入库4090 kg，库存总数为4161kg; 8月20日出库50kg,库存总数为4111kg，料用人：吴昊； </w:t>
            </w:r>
          </w:p>
          <w:p>
            <w:pPr>
              <w:spacing w:before="120" w:line="320" w:lineRule="exact"/>
              <w:ind w:firstLine="420" w:firstLineChars="200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生产部车间、污水处理站、锅炉房相关重要环境因素管理基本符合法规要求。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before="120" w:line="320" w:lineRule="exact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应急准备和相应</w:t>
            </w:r>
          </w:p>
        </w:tc>
        <w:tc>
          <w:tcPr>
            <w:tcW w:w="1311" w:type="dxa"/>
          </w:tcPr>
          <w:p>
            <w:pPr>
              <w:spacing w:before="120" w:line="320" w:lineRule="exact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E8.2</w:t>
            </w:r>
          </w:p>
        </w:tc>
        <w:tc>
          <w:tcPr>
            <w:tcW w:w="10004" w:type="dxa"/>
          </w:tcPr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按照策划的</w:t>
            </w:r>
            <w:r>
              <w:rPr>
                <w:rFonts w:hint="eastAsia" w:ascii="等线" w:hAnsi="等线" w:eastAsia="等线" w:cs="等线"/>
                <w:bCs/>
                <w:sz w:val="21"/>
                <w:szCs w:val="21"/>
              </w:rPr>
              <w:t>《应急准备和响应控制程序》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等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实施应急准备和相应工作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，明确了相应的运行准则。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提供（杭特纸【2021】06号）《关于成立应急救援领导小组的通知》、（杭特纸【2021】7号）《关于成立义务消防队的通知》，人员保障到位；</w:t>
            </w:r>
          </w:p>
          <w:p>
            <w:pPr>
              <w:spacing w:line="400" w:lineRule="exact"/>
              <w:ind w:firstLine="420" w:firstLineChars="200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的应急预案及演练记录涉及消防（演练日期：2021年8月18日）、有限空间作业（演练日期：2021年8月30日）、危化品泄露（氯化锌溶液泄露演练日期：2021年6月16日）、触电（演练日期：2021年6月18日）、中暑（演练日期：2021年6月18日）、放射性污染（演练日期：2021年6月20日）、特种设备（如压力容器爆炸事故专项应急预案）等，提供相应的应急救援演练方案、模拟演练记录、签到表、演练现场照片、演练评价/效果总结等内容，基本满足控制要求。</w:t>
            </w:r>
          </w:p>
          <w:p>
            <w:pPr>
              <w:spacing w:before="120" w:line="320" w:lineRule="exact"/>
              <w:ind w:firstLine="420" w:firstLineChars="200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记录显示，生产部员工有参加应急演练的记录，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自体系运行以来出现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应急事故情况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见办公室10.2记录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top"/>
          </w:tcPr>
          <w:p>
            <w:pPr>
              <w:spacing w:before="120" w:line="320" w:lineRule="exact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各班次生产情况</w:t>
            </w:r>
          </w:p>
        </w:tc>
        <w:tc>
          <w:tcPr>
            <w:tcW w:w="1311" w:type="dxa"/>
            <w:vAlign w:val="top"/>
          </w:tcPr>
          <w:p>
            <w:pPr>
              <w:spacing w:before="120" w:line="320" w:lineRule="exact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经确认，生产分三班倒进行，白班为8:00~16:00,晚班为16:00~24:00，夜班为24:00~8:00; 本次审核为远程审核，现场补充审核再核实现场各班次的生产情况。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</w:rPr>
      <w:t xml:space="preserve">        </w:t>
    </w:r>
    <w:r>
      <w:rPr>
        <w:rStyle w:val="17"/>
        <w:rFonts w:hint="default"/>
        <w:w w:val="90"/>
      </w:rPr>
      <w:t>Beijing Internati</w:t>
    </w:r>
    <w:r>
      <w:rPr>
        <w:rStyle w:val="17"/>
        <w:rFonts w:hint="eastAsia"/>
        <w:w w:val="90"/>
      </w:rPr>
      <w:t>E</w:t>
    </w:r>
    <w:r>
      <w:rPr>
        <w:rStyle w:val="17"/>
        <w:rFonts w:hint="default"/>
        <w:w w:val="90"/>
      </w:rPr>
      <w:t>nal Standard united Certificati</w:t>
    </w:r>
    <w:r>
      <w:rPr>
        <w:rStyle w:val="17"/>
        <w:rFonts w:hint="eastAsia"/>
        <w:w w:val="90"/>
      </w:rPr>
      <w:t>E</w:t>
    </w:r>
    <w:r>
      <w:rPr>
        <w:rStyle w:val="17"/>
        <w:rFonts w:hint="default"/>
        <w:w w:val="90"/>
      </w:rPr>
      <w:t>n C</w:t>
    </w:r>
    <w:r>
      <w:rPr>
        <w:rStyle w:val="17"/>
        <w:rFonts w:hint="eastAsia"/>
        <w:w w:val="90"/>
      </w:rPr>
      <w:t>E</w:t>
    </w:r>
    <w:r>
      <w:rPr>
        <w:rStyle w:val="17"/>
        <w:rFonts w:hint="default"/>
        <w:w w:val="90"/>
      </w:rPr>
      <w:t>.,Ltd.</w:t>
    </w:r>
    <w:r>
      <w:rPr>
        <w:rStyle w:val="17"/>
        <w:rFonts w:hint="default"/>
        <w:w w:val="90"/>
        <w:szCs w:val="21"/>
      </w:rPr>
      <w:t xml:space="preserve">  </w:t>
    </w:r>
    <w:r>
      <w:rPr>
        <w:rStyle w:val="17"/>
        <w:rFonts w:hint="default"/>
        <w:w w:val="90"/>
        <w:sz w:val="20"/>
      </w:rPr>
      <w:t xml:space="preserve"> </w:t>
    </w:r>
    <w:r>
      <w:rPr>
        <w:rStyle w:val="17"/>
        <w:rFonts w:hint="default"/>
        <w:w w:val="90"/>
      </w:rPr>
      <w:t xml:space="preserve">                   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16389"/>
    <w:multiLevelType w:val="singleLevel"/>
    <w:tmpl w:val="E5916389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FFD4CD51"/>
    <w:multiLevelType w:val="singleLevel"/>
    <w:tmpl w:val="FFD4CD51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2FB56DE"/>
    <w:multiLevelType w:val="multilevel"/>
    <w:tmpl w:val="12FB56DE"/>
    <w:lvl w:ilvl="0" w:tentative="0">
      <w:start w:val="1"/>
      <w:numFmt w:val="decimal"/>
      <w:lvlText w:val="%1"/>
      <w:lvlJc w:val="left"/>
      <w:pPr>
        <w:tabs>
          <w:tab w:val="left" w:pos="867"/>
        </w:tabs>
        <w:ind w:left="5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3330"/>
    <w:rsid w:val="0002531E"/>
    <w:rsid w:val="000277D0"/>
    <w:rsid w:val="0003138C"/>
    <w:rsid w:val="00032100"/>
    <w:rsid w:val="0003373A"/>
    <w:rsid w:val="00033BC0"/>
    <w:rsid w:val="00034576"/>
    <w:rsid w:val="00035FB9"/>
    <w:rsid w:val="000412F6"/>
    <w:rsid w:val="00045092"/>
    <w:rsid w:val="000510BA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2FC8"/>
    <w:rsid w:val="00094791"/>
    <w:rsid w:val="000A067A"/>
    <w:rsid w:val="000A30F9"/>
    <w:rsid w:val="000A3C0F"/>
    <w:rsid w:val="000A5E44"/>
    <w:rsid w:val="000A6B86"/>
    <w:rsid w:val="000B1394"/>
    <w:rsid w:val="000B3731"/>
    <w:rsid w:val="000B40BD"/>
    <w:rsid w:val="000B6EAD"/>
    <w:rsid w:val="000C123B"/>
    <w:rsid w:val="000C25C3"/>
    <w:rsid w:val="000C2D5B"/>
    <w:rsid w:val="000C3052"/>
    <w:rsid w:val="000D4F09"/>
    <w:rsid w:val="000D5401"/>
    <w:rsid w:val="000D697A"/>
    <w:rsid w:val="000D6B2F"/>
    <w:rsid w:val="000D6F8E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0F3"/>
    <w:rsid w:val="001076D1"/>
    <w:rsid w:val="00120749"/>
    <w:rsid w:val="00123A35"/>
    <w:rsid w:val="00124A78"/>
    <w:rsid w:val="00132572"/>
    <w:rsid w:val="00135F92"/>
    <w:rsid w:val="00136E61"/>
    <w:rsid w:val="00140192"/>
    <w:rsid w:val="00145688"/>
    <w:rsid w:val="001456CB"/>
    <w:rsid w:val="001462CD"/>
    <w:rsid w:val="00147922"/>
    <w:rsid w:val="00147EDB"/>
    <w:rsid w:val="0015649B"/>
    <w:rsid w:val="001564F9"/>
    <w:rsid w:val="0016112C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04AA"/>
    <w:rsid w:val="001918ED"/>
    <w:rsid w:val="00192A7F"/>
    <w:rsid w:val="00192B8F"/>
    <w:rsid w:val="001940FC"/>
    <w:rsid w:val="00194D96"/>
    <w:rsid w:val="001972C0"/>
    <w:rsid w:val="001A2D7F"/>
    <w:rsid w:val="001A3DF8"/>
    <w:rsid w:val="001A572D"/>
    <w:rsid w:val="001A7826"/>
    <w:rsid w:val="001B324E"/>
    <w:rsid w:val="001B36F4"/>
    <w:rsid w:val="001B5E73"/>
    <w:rsid w:val="001B6887"/>
    <w:rsid w:val="001B6E5E"/>
    <w:rsid w:val="001B700E"/>
    <w:rsid w:val="001C0776"/>
    <w:rsid w:val="001C2BC9"/>
    <w:rsid w:val="001C34EA"/>
    <w:rsid w:val="001C39CB"/>
    <w:rsid w:val="001D1D7C"/>
    <w:rsid w:val="001D2736"/>
    <w:rsid w:val="001D4AD8"/>
    <w:rsid w:val="001D54FF"/>
    <w:rsid w:val="001D5787"/>
    <w:rsid w:val="001D585E"/>
    <w:rsid w:val="001D7FCA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0501"/>
    <w:rsid w:val="00245047"/>
    <w:rsid w:val="00245CB6"/>
    <w:rsid w:val="00246063"/>
    <w:rsid w:val="00253CBF"/>
    <w:rsid w:val="00262DC0"/>
    <w:rsid w:val="002651A6"/>
    <w:rsid w:val="002715B5"/>
    <w:rsid w:val="00274A55"/>
    <w:rsid w:val="002760CB"/>
    <w:rsid w:val="0027659A"/>
    <w:rsid w:val="002769EB"/>
    <w:rsid w:val="0028195E"/>
    <w:rsid w:val="00282AB8"/>
    <w:rsid w:val="002945D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3F"/>
    <w:rsid w:val="002C3E0D"/>
    <w:rsid w:val="002C60B0"/>
    <w:rsid w:val="002D2DA4"/>
    <w:rsid w:val="002D41FB"/>
    <w:rsid w:val="002E0587"/>
    <w:rsid w:val="002E1E1D"/>
    <w:rsid w:val="002E38A4"/>
    <w:rsid w:val="002E72F8"/>
    <w:rsid w:val="002F030C"/>
    <w:rsid w:val="002F1DCE"/>
    <w:rsid w:val="002F4D1B"/>
    <w:rsid w:val="003006E2"/>
    <w:rsid w:val="003120F5"/>
    <w:rsid w:val="00317401"/>
    <w:rsid w:val="00317FAF"/>
    <w:rsid w:val="0032112D"/>
    <w:rsid w:val="00326FC1"/>
    <w:rsid w:val="00330DBC"/>
    <w:rsid w:val="00336040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782E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B40"/>
    <w:rsid w:val="003A57BB"/>
    <w:rsid w:val="003A62C3"/>
    <w:rsid w:val="003A715C"/>
    <w:rsid w:val="003B0E41"/>
    <w:rsid w:val="003B63F4"/>
    <w:rsid w:val="003B686D"/>
    <w:rsid w:val="003B6EB8"/>
    <w:rsid w:val="003C2A32"/>
    <w:rsid w:val="003D1723"/>
    <w:rsid w:val="003D470D"/>
    <w:rsid w:val="003D6BE3"/>
    <w:rsid w:val="003E0E52"/>
    <w:rsid w:val="003E2C93"/>
    <w:rsid w:val="003F20A5"/>
    <w:rsid w:val="003F6D4B"/>
    <w:rsid w:val="00400994"/>
    <w:rsid w:val="00400B96"/>
    <w:rsid w:val="00401C89"/>
    <w:rsid w:val="00402125"/>
    <w:rsid w:val="00405AA6"/>
    <w:rsid w:val="00405D57"/>
    <w:rsid w:val="00405D5F"/>
    <w:rsid w:val="00410914"/>
    <w:rsid w:val="00413DEB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37127"/>
    <w:rsid w:val="00440BBC"/>
    <w:rsid w:val="004414A5"/>
    <w:rsid w:val="00441B50"/>
    <w:rsid w:val="004428CE"/>
    <w:rsid w:val="00456064"/>
    <w:rsid w:val="004563CB"/>
    <w:rsid w:val="004565BC"/>
    <w:rsid w:val="00456697"/>
    <w:rsid w:val="00463AD4"/>
    <w:rsid w:val="00463F22"/>
    <w:rsid w:val="00465CFE"/>
    <w:rsid w:val="00465FE1"/>
    <w:rsid w:val="0046696A"/>
    <w:rsid w:val="00475491"/>
    <w:rsid w:val="004869FB"/>
    <w:rsid w:val="00491735"/>
    <w:rsid w:val="00493DC8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C7A45"/>
    <w:rsid w:val="004D3E4C"/>
    <w:rsid w:val="004D55E7"/>
    <w:rsid w:val="004D62EF"/>
    <w:rsid w:val="004D631F"/>
    <w:rsid w:val="004E1FC0"/>
    <w:rsid w:val="004E5609"/>
    <w:rsid w:val="004E61BC"/>
    <w:rsid w:val="004F185D"/>
    <w:rsid w:val="004F1F2A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1DAB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66FC"/>
    <w:rsid w:val="005571F6"/>
    <w:rsid w:val="00560A2A"/>
    <w:rsid w:val="00564E53"/>
    <w:rsid w:val="00571FB2"/>
    <w:rsid w:val="00576C70"/>
    <w:rsid w:val="005818F3"/>
    <w:rsid w:val="00583277"/>
    <w:rsid w:val="00592922"/>
    <w:rsid w:val="00592C3E"/>
    <w:rsid w:val="00597617"/>
    <w:rsid w:val="005A000F"/>
    <w:rsid w:val="005B173D"/>
    <w:rsid w:val="005B6888"/>
    <w:rsid w:val="005C0F1E"/>
    <w:rsid w:val="005D1287"/>
    <w:rsid w:val="005D1D88"/>
    <w:rsid w:val="005D5B03"/>
    <w:rsid w:val="005D5F6F"/>
    <w:rsid w:val="005E29C1"/>
    <w:rsid w:val="005E4182"/>
    <w:rsid w:val="005F4B58"/>
    <w:rsid w:val="005F4B89"/>
    <w:rsid w:val="005F522D"/>
    <w:rsid w:val="005F6C65"/>
    <w:rsid w:val="005F6C93"/>
    <w:rsid w:val="00600F02"/>
    <w:rsid w:val="00601460"/>
    <w:rsid w:val="006014D4"/>
    <w:rsid w:val="0060444D"/>
    <w:rsid w:val="0061191A"/>
    <w:rsid w:val="00616BD6"/>
    <w:rsid w:val="00623037"/>
    <w:rsid w:val="00624222"/>
    <w:rsid w:val="00632DE1"/>
    <w:rsid w:val="00642776"/>
    <w:rsid w:val="00642D31"/>
    <w:rsid w:val="00643732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44DC"/>
    <w:rsid w:val="0067640C"/>
    <w:rsid w:val="006836D9"/>
    <w:rsid w:val="00683BF6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AB0"/>
    <w:rsid w:val="006B2C63"/>
    <w:rsid w:val="006B39AA"/>
    <w:rsid w:val="006B4127"/>
    <w:rsid w:val="006B4E32"/>
    <w:rsid w:val="006B4F28"/>
    <w:rsid w:val="006C24BF"/>
    <w:rsid w:val="006C40B9"/>
    <w:rsid w:val="006C5B83"/>
    <w:rsid w:val="006D4DF7"/>
    <w:rsid w:val="006E4893"/>
    <w:rsid w:val="006E5BA5"/>
    <w:rsid w:val="006E6151"/>
    <w:rsid w:val="006E678B"/>
    <w:rsid w:val="006E762B"/>
    <w:rsid w:val="006F142F"/>
    <w:rsid w:val="0070367F"/>
    <w:rsid w:val="007042C6"/>
    <w:rsid w:val="00705251"/>
    <w:rsid w:val="00706392"/>
    <w:rsid w:val="00710655"/>
    <w:rsid w:val="00710688"/>
    <w:rsid w:val="00712F3C"/>
    <w:rsid w:val="00714FB1"/>
    <w:rsid w:val="007170AA"/>
    <w:rsid w:val="007175F5"/>
    <w:rsid w:val="00722B43"/>
    <w:rsid w:val="0072638A"/>
    <w:rsid w:val="00726642"/>
    <w:rsid w:val="00732B66"/>
    <w:rsid w:val="0073447C"/>
    <w:rsid w:val="007378E4"/>
    <w:rsid w:val="00737C8F"/>
    <w:rsid w:val="007406DE"/>
    <w:rsid w:val="00740E7F"/>
    <w:rsid w:val="00743D92"/>
    <w:rsid w:val="00743E79"/>
    <w:rsid w:val="00744BEA"/>
    <w:rsid w:val="00746E3A"/>
    <w:rsid w:val="00751532"/>
    <w:rsid w:val="00751C37"/>
    <w:rsid w:val="00754C46"/>
    <w:rsid w:val="0075769B"/>
    <w:rsid w:val="007618BC"/>
    <w:rsid w:val="00765D3B"/>
    <w:rsid w:val="00772340"/>
    <w:rsid w:val="007737BA"/>
    <w:rsid w:val="00773989"/>
    <w:rsid w:val="007757F3"/>
    <w:rsid w:val="007815DC"/>
    <w:rsid w:val="007839F5"/>
    <w:rsid w:val="00787C80"/>
    <w:rsid w:val="00790D5E"/>
    <w:rsid w:val="00790FC6"/>
    <w:rsid w:val="00795FA6"/>
    <w:rsid w:val="0079602E"/>
    <w:rsid w:val="007A47FB"/>
    <w:rsid w:val="007A6E97"/>
    <w:rsid w:val="007B0EA9"/>
    <w:rsid w:val="007B106B"/>
    <w:rsid w:val="007B275D"/>
    <w:rsid w:val="007B35C5"/>
    <w:rsid w:val="007B668F"/>
    <w:rsid w:val="007C21B9"/>
    <w:rsid w:val="007D3188"/>
    <w:rsid w:val="007D7A37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4047"/>
    <w:rsid w:val="00815AF5"/>
    <w:rsid w:val="008160E3"/>
    <w:rsid w:val="00821B77"/>
    <w:rsid w:val="008343CB"/>
    <w:rsid w:val="00834F70"/>
    <w:rsid w:val="00835B31"/>
    <w:rsid w:val="00850591"/>
    <w:rsid w:val="008549CE"/>
    <w:rsid w:val="008575F9"/>
    <w:rsid w:val="00860122"/>
    <w:rsid w:val="00860162"/>
    <w:rsid w:val="008638DE"/>
    <w:rsid w:val="00863B20"/>
    <w:rsid w:val="008646DE"/>
    <w:rsid w:val="00864902"/>
    <w:rsid w:val="00864BE7"/>
    <w:rsid w:val="00865200"/>
    <w:rsid w:val="00871695"/>
    <w:rsid w:val="00881290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A7FB6"/>
    <w:rsid w:val="008B21BA"/>
    <w:rsid w:val="008B4EE2"/>
    <w:rsid w:val="008B68E5"/>
    <w:rsid w:val="008B7644"/>
    <w:rsid w:val="008C199E"/>
    <w:rsid w:val="008C1CA5"/>
    <w:rsid w:val="008C519F"/>
    <w:rsid w:val="008C5B6D"/>
    <w:rsid w:val="008D089D"/>
    <w:rsid w:val="008D2CA3"/>
    <w:rsid w:val="008E0E14"/>
    <w:rsid w:val="008E6B41"/>
    <w:rsid w:val="008E792C"/>
    <w:rsid w:val="008F0B04"/>
    <w:rsid w:val="008F4922"/>
    <w:rsid w:val="008F6788"/>
    <w:rsid w:val="008F7C55"/>
    <w:rsid w:val="00901BAF"/>
    <w:rsid w:val="0091272B"/>
    <w:rsid w:val="00914A79"/>
    <w:rsid w:val="00915512"/>
    <w:rsid w:val="00930694"/>
    <w:rsid w:val="00932193"/>
    <w:rsid w:val="00932BE6"/>
    <w:rsid w:val="0093521F"/>
    <w:rsid w:val="0093786C"/>
    <w:rsid w:val="00945677"/>
    <w:rsid w:val="00945EBD"/>
    <w:rsid w:val="0095571F"/>
    <w:rsid w:val="00955B84"/>
    <w:rsid w:val="0095689B"/>
    <w:rsid w:val="009619EF"/>
    <w:rsid w:val="0096227D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87B01"/>
    <w:rsid w:val="0099013A"/>
    <w:rsid w:val="009910C2"/>
    <w:rsid w:val="0099301F"/>
    <w:rsid w:val="00995C07"/>
    <w:rsid w:val="00996310"/>
    <w:rsid w:val="009969D2"/>
    <w:rsid w:val="009973B4"/>
    <w:rsid w:val="009A1279"/>
    <w:rsid w:val="009A4973"/>
    <w:rsid w:val="009A4B5C"/>
    <w:rsid w:val="009B3649"/>
    <w:rsid w:val="009B4D68"/>
    <w:rsid w:val="009B4FB3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035A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277F2"/>
    <w:rsid w:val="00A3538B"/>
    <w:rsid w:val="00A378F6"/>
    <w:rsid w:val="00A41F32"/>
    <w:rsid w:val="00A4254F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505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4BB3"/>
    <w:rsid w:val="00AD6F34"/>
    <w:rsid w:val="00AE020D"/>
    <w:rsid w:val="00AE4607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75D2"/>
    <w:rsid w:val="00B410EE"/>
    <w:rsid w:val="00B44881"/>
    <w:rsid w:val="00B63BD0"/>
    <w:rsid w:val="00B72906"/>
    <w:rsid w:val="00B73B0E"/>
    <w:rsid w:val="00B73EA8"/>
    <w:rsid w:val="00B75B23"/>
    <w:rsid w:val="00B8202D"/>
    <w:rsid w:val="00B82181"/>
    <w:rsid w:val="00B826F3"/>
    <w:rsid w:val="00B91271"/>
    <w:rsid w:val="00B91605"/>
    <w:rsid w:val="00B91895"/>
    <w:rsid w:val="00B929FD"/>
    <w:rsid w:val="00B94467"/>
    <w:rsid w:val="00B95B99"/>
    <w:rsid w:val="00B95F69"/>
    <w:rsid w:val="00B95F75"/>
    <w:rsid w:val="00BA3464"/>
    <w:rsid w:val="00BA4A2A"/>
    <w:rsid w:val="00BB6AD3"/>
    <w:rsid w:val="00BC0122"/>
    <w:rsid w:val="00BC16C1"/>
    <w:rsid w:val="00BC2015"/>
    <w:rsid w:val="00BC66FE"/>
    <w:rsid w:val="00BC71B0"/>
    <w:rsid w:val="00BD16AB"/>
    <w:rsid w:val="00BD4E08"/>
    <w:rsid w:val="00BD6DBC"/>
    <w:rsid w:val="00BE17FE"/>
    <w:rsid w:val="00BE363D"/>
    <w:rsid w:val="00BE3E2D"/>
    <w:rsid w:val="00BF4590"/>
    <w:rsid w:val="00BF597E"/>
    <w:rsid w:val="00C03098"/>
    <w:rsid w:val="00C046D1"/>
    <w:rsid w:val="00C10351"/>
    <w:rsid w:val="00C10EF3"/>
    <w:rsid w:val="00C14685"/>
    <w:rsid w:val="00C31C73"/>
    <w:rsid w:val="00C44328"/>
    <w:rsid w:val="00C5112E"/>
    <w:rsid w:val="00C513CB"/>
    <w:rsid w:val="00C51A36"/>
    <w:rsid w:val="00C548BE"/>
    <w:rsid w:val="00C55228"/>
    <w:rsid w:val="00C62031"/>
    <w:rsid w:val="00C67E19"/>
    <w:rsid w:val="00C67E47"/>
    <w:rsid w:val="00C70284"/>
    <w:rsid w:val="00C71E85"/>
    <w:rsid w:val="00C723C8"/>
    <w:rsid w:val="00C73C26"/>
    <w:rsid w:val="00C745AF"/>
    <w:rsid w:val="00C750BE"/>
    <w:rsid w:val="00C76A3E"/>
    <w:rsid w:val="00C81E93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E7F7F"/>
    <w:rsid w:val="00CF1062"/>
    <w:rsid w:val="00CF147A"/>
    <w:rsid w:val="00CF1726"/>
    <w:rsid w:val="00CF5473"/>
    <w:rsid w:val="00CF5717"/>
    <w:rsid w:val="00CF5B83"/>
    <w:rsid w:val="00CF6C5C"/>
    <w:rsid w:val="00CF7295"/>
    <w:rsid w:val="00D004F0"/>
    <w:rsid w:val="00D06F59"/>
    <w:rsid w:val="00D14BD7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313F"/>
    <w:rsid w:val="00D74FBF"/>
    <w:rsid w:val="00D7717E"/>
    <w:rsid w:val="00D80770"/>
    <w:rsid w:val="00D82AE9"/>
    <w:rsid w:val="00D83050"/>
    <w:rsid w:val="00D8388C"/>
    <w:rsid w:val="00D90417"/>
    <w:rsid w:val="00D905B1"/>
    <w:rsid w:val="00D922EF"/>
    <w:rsid w:val="00D94B75"/>
    <w:rsid w:val="00D96826"/>
    <w:rsid w:val="00D97182"/>
    <w:rsid w:val="00DA0DF0"/>
    <w:rsid w:val="00DA1393"/>
    <w:rsid w:val="00DB1D00"/>
    <w:rsid w:val="00DC61A0"/>
    <w:rsid w:val="00DD10DC"/>
    <w:rsid w:val="00DD11F9"/>
    <w:rsid w:val="00DD1C8E"/>
    <w:rsid w:val="00DD1D21"/>
    <w:rsid w:val="00DD2028"/>
    <w:rsid w:val="00DD644F"/>
    <w:rsid w:val="00DD7876"/>
    <w:rsid w:val="00DE146D"/>
    <w:rsid w:val="00DE2D80"/>
    <w:rsid w:val="00DE339A"/>
    <w:rsid w:val="00DE6FCE"/>
    <w:rsid w:val="00DF1C4B"/>
    <w:rsid w:val="00DF6570"/>
    <w:rsid w:val="00DF76DB"/>
    <w:rsid w:val="00E00EC5"/>
    <w:rsid w:val="00E02804"/>
    <w:rsid w:val="00E038E4"/>
    <w:rsid w:val="00E0475D"/>
    <w:rsid w:val="00E0521C"/>
    <w:rsid w:val="00E070B7"/>
    <w:rsid w:val="00E07DDE"/>
    <w:rsid w:val="00E11CD7"/>
    <w:rsid w:val="00E13D9A"/>
    <w:rsid w:val="00E14BA9"/>
    <w:rsid w:val="00E16755"/>
    <w:rsid w:val="00E221C3"/>
    <w:rsid w:val="00E31F2E"/>
    <w:rsid w:val="00E32D13"/>
    <w:rsid w:val="00E357F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2106"/>
    <w:rsid w:val="00EB5DF5"/>
    <w:rsid w:val="00EB65F7"/>
    <w:rsid w:val="00EC42F5"/>
    <w:rsid w:val="00ED0F62"/>
    <w:rsid w:val="00ED49CB"/>
    <w:rsid w:val="00EE5CD9"/>
    <w:rsid w:val="00EE6190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0253"/>
    <w:rsid w:val="00F756B1"/>
    <w:rsid w:val="00F76276"/>
    <w:rsid w:val="00F83639"/>
    <w:rsid w:val="00F83EB6"/>
    <w:rsid w:val="00F840C3"/>
    <w:rsid w:val="00F856F5"/>
    <w:rsid w:val="00F8598C"/>
    <w:rsid w:val="00F907ED"/>
    <w:rsid w:val="00F956F5"/>
    <w:rsid w:val="00F97505"/>
    <w:rsid w:val="00FA0833"/>
    <w:rsid w:val="00FA2988"/>
    <w:rsid w:val="00FA350D"/>
    <w:rsid w:val="00FB03C3"/>
    <w:rsid w:val="00FB150B"/>
    <w:rsid w:val="00FB5904"/>
    <w:rsid w:val="00FB5A65"/>
    <w:rsid w:val="00FB6C45"/>
    <w:rsid w:val="00FC01AB"/>
    <w:rsid w:val="00FC5A11"/>
    <w:rsid w:val="00FD0A28"/>
    <w:rsid w:val="00FD2869"/>
    <w:rsid w:val="00FD29DC"/>
    <w:rsid w:val="00FD5EE5"/>
    <w:rsid w:val="00FD72A6"/>
    <w:rsid w:val="00FD7D63"/>
    <w:rsid w:val="00FE09C9"/>
    <w:rsid w:val="00FE3DB1"/>
    <w:rsid w:val="00FE62BD"/>
    <w:rsid w:val="010E23D9"/>
    <w:rsid w:val="055F39A2"/>
    <w:rsid w:val="056A1BD2"/>
    <w:rsid w:val="057B7A05"/>
    <w:rsid w:val="0747177C"/>
    <w:rsid w:val="0856662C"/>
    <w:rsid w:val="09F41CF4"/>
    <w:rsid w:val="0C6709CF"/>
    <w:rsid w:val="0C7624A1"/>
    <w:rsid w:val="0EE361FB"/>
    <w:rsid w:val="0FA4224E"/>
    <w:rsid w:val="108219C2"/>
    <w:rsid w:val="113A3DE0"/>
    <w:rsid w:val="11D861B7"/>
    <w:rsid w:val="122338FE"/>
    <w:rsid w:val="131A6D6F"/>
    <w:rsid w:val="136C3083"/>
    <w:rsid w:val="13A63693"/>
    <w:rsid w:val="162B5DD2"/>
    <w:rsid w:val="182E079C"/>
    <w:rsid w:val="19D24E9B"/>
    <w:rsid w:val="1A5A2D4F"/>
    <w:rsid w:val="1B1B7066"/>
    <w:rsid w:val="1C511E83"/>
    <w:rsid w:val="1D085BCA"/>
    <w:rsid w:val="1DB4543D"/>
    <w:rsid w:val="1DFC5003"/>
    <w:rsid w:val="1EFC3B58"/>
    <w:rsid w:val="1F5F7A31"/>
    <w:rsid w:val="1FE97E55"/>
    <w:rsid w:val="209C58AE"/>
    <w:rsid w:val="227B1B6D"/>
    <w:rsid w:val="22F71CC2"/>
    <w:rsid w:val="230956DE"/>
    <w:rsid w:val="231126A8"/>
    <w:rsid w:val="238B30B1"/>
    <w:rsid w:val="23910AF4"/>
    <w:rsid w:val="23A128D5"/>
    <w:rsid w:val="23EE3640"/>
    <w:rsid w:val="257F61F5"/>
    <w:rsid w:val="26A526DC"/>
    <w:rsid w:val="29B00C44"/>
    <w:rsid w:val="2B7B1C5D"/>
    <w:rsid w:val="2BAD5B8F"/>
    <w:rsid w:val="2BEA0B91"/>
    <w:rsid w:val="2CCD0296"/>
    <w:rsid w:val="2CD7381C"/>
    <w:rsid w:val="2D2E765D"/>
    <w:rsid w:val="2F1A5BB2"/>
    <w:rsid w:val="311D48B7"/>
    <w:rsid w:val="334F654D"/>
    <w:rsid w:val="33980C92"/>
    <w:rsid w:val="35555306"/>
    <w:rsid w:val="359A53D6"/>
    <w:rsid w:val="37DB7E25"/>
    <w:rsid w:val="38F13321"/>
    <w:rsid w:val="394025EC"/>
    <w:rsid w:val="3A554879"/>
    <w:rsid w:val="3C37200A"/>
    <w:rsid w:val="3C9C1A33"/>
    <w:rsid w:val="3EFE1E46"/>
    <w:rsid w:val="3F285800"/>
    <w:rsid w:val="3F8A64BB"/>
    <w:rsid w:val="3FD954EB"/>
    <w:rsid w:val="41BB0BAE"/>
    <w:rsid w:val="42EE0B0F"/>
    <w:rsid w:val="449D459A"/>
    <w:rsid w:val="45FE6141"/>
    <w:rsid w:val="4BAD5A0B"/>
    <w:rsid w:val="4C0372B0"/>
    <w:rsid w:val="4C343841"/>
    <w:rsid w:val="4C4F26DD"/>
    <w:rsid w:val="4CCE3E8B"/>
    <w:rsid w:val="4D0C1471"/>
    <w:rsid w:val="4D502AF2"/>
    <w:rsid w:val="4DB12E65"/>
    <w:rsid w:val="4E6C2B4D"/>
    <w:rsid w:val="4EEC071D"/>
    <w:rsid w:val="4FF0324F"/>
    <w:rsid w:val="50DB448D"/>
    <w:rsid w:val="51ED6B61"/>
    <w:rsid w:val="52CC6949"/>
    <w:rsid w:val="55C76863"/>
    <w:rsid w:val="56ED315F"/>
    <w:rsid w:val="570B0679"/>
    <w:rsid w:val="581C08D7"/>
    <w:rsid w:val="587E0689"/>
    <w:rsid w:val="5A2D65D2"/>
    <w:rsid w:val="5A9B2514"/>
    <w:rsid w:val="5B8A78EA"/>
    <w:rsid w:val="5BA20634"/>
    <w:rsid w:val="5CDE2FEC"/>
    <w:rsid w:val="5DB06C95"/>
    <w:rsid w:val="5DF275B2"/>
    <w:rsid w:val="5EA12B9A"/>
    <w:rsid w:val="5F5B3B2B"/>
    <w:rsid w:val="602133EE"/>
    <w:rsid w:val="602E29D0"/>
    <w:rsid w:val="652C356B"/>
    <w:rsid w:val="65F43073"/>
    <w:rsid w:val="66EF5D91"/>
    <w:rsid w:val="69B31F2D"/>
    <w:rsid w:val="69E603A5"/>
    <w:rsid w:val="6E355D52"/>
    <w:rsid w:val="6FBD5C57"/>
    <w:rsid w:val="72636B92"/>
    <w:rsid w:val="72805EBA"/>
    <w:rsid w:val="72D81BBC"/>
    <w:rsid w:val="72DA58DB"/>
    <w:rsid w:val="73823836"/>
    <w:rsid w:val="75094B15"/>
    <w:rsid w:val="763D45DB"/>
    <w:rsid w:val="77C84DC0"/>
    <w:rsid w:val="79EF64B4"/>
    <w:rsid w:val="7ADE49EA"/>
    <w:rsid w:val="7BB44BEA"/>
    <w:rsid w:val="7C042EC3"/>
    <w:rsid w:val="7CA02200"/>
    <w:rsid w:val="7DCF539D"/>
    <w:rsid w:val="7E5734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link w:val="22"/>
    <w:qFormat/>
    <w:uiPriority w:val="0"/>
    <w:rPr>
      <w:rFonts w:ascii="宋体" w:hAnsi="Courier New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1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Char"/>
    <w:basedOn w:val="13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2">
    <w:name w:val="纯文本 Char"/>
    <w:basedOn w:val="13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3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styleId="25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1124</Words>
  <Characters>6408</Characters>
  <Lines>53</Lines>
  <Paragraphs>15</Paragraphs>
  <TotalTime>0</TotalTime>
  <ScaleCrop>false</ScaleCrop>
  <LinksUpToDate>false</LinksUpToDate>
  <CharactersWithSpaces>7517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2022-01-24T04:27:00Z</dcterms:modified>
  <cp:revision>1063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09F14CBBFF1F43F2AC6A6C47E612F8C9</vt:lpwstr>
  </property>
</Properties>
</file>