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楷体" w:hAnsi="楷体" w:eastAsia="楷体"/>
          <w:sz w:val="24"/>
          <w:szCs w:val="24"/>
        </w:rPr>
      </w:pPr>
    </w:p>
    <w:p>
      <w:pPr>
        <w:pStyle w:val="4"/>
        <w:rPr>
          <w:rFonts w:ascii="楷体" w:hAnsi="楷体" w:eastAsia="楷体"/>
          <w:sz w:val="24"/>
          <w:szCs w:val="24"/>
        </w:rPr>
      </w:pPr>
    </w:p>
    <w:p>
      <w:pPr>
        <w:pStyle w:val="4"/>
        <w:rPr>
          <w:rFonts w:ascii="楷体" w:hAnsi="楷体" w:eastAsia="楷体"/>
          <w:sz w:val="24"/>
          <w:szCs w:val="24"/>
        </w:rPr>
      </w:pPr>
    </w:p>
    <w:p>
      <w:pPr>
        <w:spacing w:line="480" w:lineRule="exact"/>
        <w:jc w:val="center"/>
        <w:rPr>
          <w:rFonts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涉及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受审核部门：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供应部      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管领导/陪同人员  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龚新波/骆路云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color w:val="FF0000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审核员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 林兵 李大方（提供专业支持） 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审核时间：202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21 10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: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0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~12:00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color w:val="FF0000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审核条款：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color w:val="FF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5.3组织的角色、职责和权限；6.1.2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环境因素识别、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评价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及其控制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；6.2目标及其实现的策划；8.1运行策划和控制；8.2应急准备和响应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组织的岗位职责和权限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5.3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《员工岗位环境管理职责》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  <w:t>中明确规定供应部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主要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职责内容如下：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line="300" w:lineRule="auto"/>
              <w:ind w:firstLine="420" w:firstLineChars="200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-SA"/>
              </w:rPr>
              <w:t>1.负责选择供方时，审查花环保和安全资质。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line="300" w:lineRule="auto"/>
              <w:ind w:firstLine="420" w:firstLineChars="200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-SA"/>
              </w:rPr>
              <w:t>2.负责对采购产品应符合国家有关环保规定。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  <w:t>3.采购国家限定的危险化学品，负责审查有关资质和相关规定。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b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  <w:t>与供应部负责人龚新波沟通，描述的职责和权限与一体化管理体系的职能分配表基本一致。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default" w:ascii="等线" w:hAnsi="等线" w:eastAsia="等线" w:cs="等线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环境因素和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险源辨识和职业安全风险评价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及其控制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default" w:ascii="等线" w:hAnsi="等线" w:eastAsia="等线" w:cs="等线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E6.1.2/6.1.4</w:t>
            </w:r>
          </w:p>
        </w:tc>
        <w:tc>
          <w:tcPr>
            <w:tcW w:w="10455" w:type="dxa"/>
            <w:vAlign w:val="center"/>
          </w:tcPr>
          <w:p>
            <w:pPr>
              <w:snapToGrid w:val="0"/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现</w:t>
            </w:r>
            <w:r>
              <w:rPr>
                <w:rFonts w:hint="eastAsia" w:ascii="等线" w:hAnsi="等线" w:eastAsia="等线" w:cs="等线"/>
                <w:sz w:val="21"/>
                <w:szCs w:val="21"/>
                <w:highlight w:val="none"/>
              </w:rPr>
              <w:t>场提供了《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-SA"/>
              </w:rPr>
              <w:t>环境因素识别和评价控制程序》，对</w:t>
            </w:r>
            <w:r>
              <w:rPr>
                <w:rFonts w:hint="eastAsia" w:ascii="等线" w:hAnsi="等线" w:eastAsia="等线" w:cs="等线"/>
                <w:sz w:val="21"/>
                <w:szCs w:val="21"/>
                <w:highlight w:val="none"/>
                <w:lang w:eastAsia="zh-CN"/>
              </w:rPr>
              <w:t>环境因素</w:t>
            </w:r>
            <w:r>
              <w:rPr>
                <w:rFonts w:hint="eastAsia" w:ascii="等线" w:hAnsi="等线" w:eastAsia="等线" w:cs="等线"/>
                <w:sz w:val="21"/>
                <w:szCs w:val="21"/>
                <w:highlight w:val="none"/>
              </w:rPr>
              <w:t>的识别、评价结果、控制手段等做出了规定。</w:t>
            </w:r>
            <w:r>
              <w:rPr>
                <w:rFonts w:hint="eastAsia" w:ascii="等线" w:hAnsi="等线" w:eastAsia="等线" w:cs="等线"/>
                <w:sz w:val="21"/>
                <w:szCs w:val="21"/>
                <w:highlight w:val="none"/>
                <w:lang w:val="en-US" w:eastAsia="zh-CN"/>
              </w:rPr>
              <w:t>组织在产品开发、生产、销售和服务中能够控制和能够施加影响的环境因素的识别与评价，同时考虑已纳入计划的或新的产品开发或修改的生产、销售和服务等因素,考虑公司造纸原材提供过程、产品交付后使用过程、丢弃过程中的环境因素，并制定了相应的控制措施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highlight w:val="none"/>
                <w:lang w:val="en-US" w:eastAsia="zh-CN"/>
              </w:rPr>
              <w:t xml:space="preserve">查HTZ EMS 2-01-3《环境因素汇总评价表》（2021年11月10日），抽查涉及供应部的主要识别内容如下： </w:t>
            </w:r>
          </w:p>
          <w:p>
            <w:pPr>
              <w:spacing w:line="400" w:lineRule="exact"/>
              <w:ind w:firstLine="420"/>
              <w:rPr>
                <w:rFonts w:hint="default" w:ascii="等线" w:hAnsi="等线" w:eastAsia="宋体" w:cs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水电消耗、</w:t>
            </w:r>
            <w:r>
              <w:rPr>
                <w:rFonts w:hint="eastAsia"/>
                <w:szCs w:val="21"/>
                <w:highlight w:val="none"/>
              </w:rPr>
              <w:t>纸的废弃（笔记本、打印纸、传真纸等）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潜在的火灾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原材料有害物质超标等环境因素，</w:t>
            </w:r>
            <w:r>
              <w:rPr>
                <w:rFonts w:hint="eastAsia"/>
                <w:highlight w:val="none"/>
                <w:lang w:val="en-US" w:eastAsia="zh-CN"/>
              </w:rPr>
              <w:t>其识别和控制基本满足要求。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b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6.2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等线" w:hAnsi="等线" w:eastAsia="等线" w:cs="等线"/>
                <w:b/>
                <w:sz w:val="21"/>
                <w:szCs w:val="21"/>
              </w:rPr>
            </w:pPr>
          </w:p>
        </w:tc>
        <w:tc>
          <w:tcPr>
            <w:tcW w:w="10455" w:type="dxa"/>
          </w:tcPr>
          <w:p>
            <w:pPr>
              <w:pStyle w:val="9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default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组织环境手册中规定的目标如下：</w:t>
            </w:r>
          </w:p>
          <w:p>
            <w:pPr>
              <w:pStyle w:val="9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1）工业废水达标排放；2)废气达标排放；4)火灾事故为0；</w:t>
            </w:r>
          </w:p>
          <w:p>
            <w:pPr>
              <w:pStyle w:val="9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5）危废控制率100%；6）危险化学品泄露事故为0。</w:t>
            </w:r>
          </w:p>
          <w:p>
            <w:pPr>
              <w:pStyle w:val="9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部门分解目标与组织目标和方针整体一致，可测量，并传达到部门相关人员，必要时适时更新，目前无变化。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提供《2022年环境目标指标一览表》、2021年度1-12月《环境目标、指标分解及完成情况表》等显示，供应部涉及的目标均已达成，符合监视要求。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8.1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455" w:type="dxa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与采购相关的安全运行控制文件包括《废水控制程序》、《废气控制程序》、《固体废物控制程序》、《环境因素识别和评价控制程序》等，从供应部负责人龚新波了解到，供应部的运行过程控制主要包括：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1.固废管控：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办公等产生的固废垃圾由行政部统一按照要求委托环卫处理。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2.能源资源管控：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办公过程注意节水、节电、及时关闭设备和照明开关，现场相关区域未发现有漏水和浪费电能的现象。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3.产品生命周期的环境管控：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组织从工艺设计和采购产品时已考虑了产品的环保性，采购过程中，严格按照环保、安全生产标准执行，控制好辅助材料的采购质量、环保和安全。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4.潜在火灾管控：供应部公区域配备了相应的灭火器，均符合要求。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5.能提供防止员工意外伤害加重的急救药品如创可贴、消杀药水等。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6.采购人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员遵守公司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的各项疫情防控等职业健康与安全管理要求。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在供方审核时，加入环境管理要求；。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7.供应部运行控制基本满足标准和组织文件要求，其它运行控制见各部门运行控制记录。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应急准备和相应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8.2</w:t>
            </w:r>
          </w:p>
        </w:tc>
        <w:tc>
          <w:tcPr>
            <w:tcW w:w="10455" w:type="dxa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按照策划的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《应急准备和响应控制程序》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等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实施应急准备和相应工作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，明确了相应的运行准则。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提供（杭特纸【2021】06号）《关于成立应急救援领导小组的通知》、（杭特纸【2021】7号）《关于成立义务消防队的通知》，人员保障到位；</w:t>
            </w:r>
          </w:p>
          <w:p>
            <w:pPr>
              <w:spacing w:line="400" w:lineRule="exact"/>
              <w:ind w:firstLine="420" w:firstLineChars="200"/>
              <w:rPr>
                <w:rFonts w:hint="default" w:ascii="等线" w:hAnsi="等线" w:eastAsia="等线" w:cs="等线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组织的应急预案及演练记录涉及消防（演练日期：2021年8月18日）、有限空间作业（演练日期：2021年8月30日）、危化品泄露（氯化锌溶液泄露演练日期：2021年6月16日）、触电（演练日期：2021年6月18日）、中暑（演练日期：2021年6月18日）、放射性污染（演练日期：2021年6月20日）等，提供相应的应急救援演练方案、模拟演练记录、签到表、演练现场照片、演练评价/效果总结等内容，基本满足控制要求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记录显示，供应部员工有参加消防等应急演练的记录，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自体系运行以来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  <w:lang w:val="en-US" w:eastAsia="zh-CN"/>
              </w:rPr>
              <w:t>供应部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未出现应急事故情况。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4"/>
      </w:pPr>
      <w:r>
        <w:rPr>
          <w:rFonts w:hint="eastAsia" w:ascii="楷体" w:hAnsi="楷体" w:eastAsia="楷体"/>
        </w:rPr>
        <w:t>说明：不符合标注N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2871"/>
    <w:rsid w:val="089B0621"/>
    <w:rsid w:val="08F76ECA"/>
    <w:rsid w:val="0B934B3C"/>
    <w:rsid w:val="0C6459D0"/>
    <w:rsid w:val="0E470BFB"/>
    <w:rsid w:val="0E85096E"/>
    <w:rsid w:val="0FF05F75"/>
    <w:rsid w:val="10656506"/>
    <w:rsid w:val="108C0860"/>
    <w:rsid w:val="12AB6C65"/>
    <w:rsid w:val="12EC0DAE"/>
    <w:rsid w:val="158C323C"/>
    <w:rsid w:val="15F807A0"/>
    <w:rsid w:val="19CD3CBE"/>
    <w:rsid w:val="1AB1418E"/>
    <w:rsid w:val="1B0E2C78"/>
    <w:rsid w:val="1C0A6F71"/>
    <w:rsid w:val="1DB92AAA"/>
    <w:rsid w:val="1DDF15A8"/>
    <w:rsid w:val="21A00E17"/>
    <w:rsid w:val="22B86BD6"/>
    <w:rsid w:val="22BC7FA6"/>
    <w:rsid w:val="23061DF6"/>
    <w:rsid w:val="23312BF6"/>
    <w:rsid w:val="23D45CC3"/>
    <w:rsid w:val="24185C39"/>
    <w:rsid w:val="2483493D"/>
    <w:rsid w:val="27D26466"/>
    <w:rsid w:val="2DB52179"/>
    <w:rsid w:val="2E8D6AD6"/>
    <w:rsid w:val="2E9C0FE0"/>
    <w:rsid w:val="2F1F6DA3"/>
    <w:rsid w:val="308E3697"/>
    <w:rsid w:val="309F5F06"/>
    <w:rsid w:val="31337021"/>
    <w:rsid w:val="31A70C5D"/>
    <w:rsid w:val="33013EE5"/>
    <w:rsid w:val="338432F8"/>
    <w:rsid w:val="36FD0B66"/>
    <w:rsid w:val="373D3686"/>
    <w:rsid w:val="381E093C"/>
    <w:rsid w:val="3929797F"/>
    <w:rsid w:val="39903AEB"/>
    <w:rsid w:val="3C4C52A9"/>
    <w:rsid w:val="3E2857BC"/>
    <w:rsid w:val="3E426B66"/>
    <w:rsid w:val="3EFC64FA"/>
    <w:rsid w:val="3FE5127A"/>
    <w:rsid w:val="40666EF6"/>
    <w:rsid w:val="44134353"/>
    <w:rsid w:val="44D4283C"/>
    <w:rsid w:val="459B6D2C"/>
    <w:rsid w:val="47C647FF"/>
    <w:rsid w:val="49235E4B"/>
    <w:rsid w:val="4A6224E4"/>
    <w:rsid w:val="4C5B7332"/>
    <w:rsid w:val="4C971C64"/>
    <w:rsid w:val="4D2873FF"/>
    <w:rsid w:val="55775F4C"/>
    <w:rsid w:val="5C9F47FB"/>
    <w:rsid w:val="5D2440D9"/>
    <w:rsid w:val="613A1C97"/>
    <w:rsid w:val="61B47AFB"/>
    <w:rsid w:val="61CF7D3D"/>
    <w:rsid w:val="61F42441"/>
    <w:rsid w:val="63F20838"/>
    <w:rsid w:val="65596597"/>
    <w:rsid w:val="657E389A"/>
    <w:rsid w:val="68D01098"/>
    <w:rsid w:val="6A8E035E"/>
    <w:rsid w:val="6B6D579B"/>
    <w:rsid w:val="6C3D64DF"/>
    <w:rsid w:val="6EFE40B6"/>
    <w:rsid w:val="72E7714B"/>
    <w:rsid w:val="77562447"/>
    <w:rsid w:val="78764F7E"/>
    <w:rsid w:val="7A960FB8"/>
    <w:rsid w:val="7D306FB8"/>
    <w:rsid w:val="7DF87AA6"/>
    <w:rsid w:val="7D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9">
    <w:name w:val="List Paragraph"/>
    <w:basedOn w:val="1"/>
    <w:qFormat/>
    <w:uiPriority w:val="0"/>
    <w:pPr>
      <w:ind w:firstLine="420" w:firstLineChars="200"/>
      <w:jc w:val="left"/>
    </w:pPr>
    <w:rPr>
      <w:rFonts w:eastAsia="PMingLiU"/>
      <w:sz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2021-09-18T07:19:00Z</dcterms:created>
  <dc:creator>lenovo</dc:creator>
  <cp:lastModifiedBy>森林</cp:lastModifiedBy>
  <dcterms:modified xsi:type="dcterms:W3CDTF">2022-01-24T04:21:07Z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0669560A28844178B7D34F37E86F9B7B</vt:lpwstr>
  </property>
</Properties>
</file>