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color w:val="000000"/>
                <w:szCs w:val="21"/>
              </w:rPr>
              <w:t>北京中时众亿环保科技有限公司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环保工程（废气综合治理）技术咨询及其相关技术活动：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立项--资料收集--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项目策划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--编写立项报告--确定服务方案（根据业主实际情况确定出合理的配套废气治理方案---确定工艺----设备工艺流程图与布置图设计----废气治理塔参数----选用设备材料）--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--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顾客验收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确认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环保工程（废气综合治理）技术咨询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过程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特殊过程：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环保工程（废气综合治理）技术咨询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过程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咨询准备策划阶段：签订咨询合同、制定咨询计划、咨询资料的收集整理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实施阶段：收集和熟悉有关咨询依据、根据咨询实施计划开展工程咨询的各项工作、咨询成果文件的校审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终结阶段：咨询成果交付与资料交接、咨询资料的整理归档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《中国人民共和国环境保护法》（1989年12月）；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《中华人民共和国大气污染防治法》（2000年4月29）；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《大气污染物综合排放标准》（GB16297-1996）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.《中华人民共和国恶臭污染物排放标准》（GB14554-93）；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.《城镇污水处理厂污染物排放标准》(GB18918-2002)：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.《城镇再生水厂臭气治理技术导则》（Q/BDG JS019-ZS01-2014）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.《城镇污水处理厂臭气处理技术规程》（CJJ∕T+243-2016）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.《工业企业厂界环境噪声排放标准》（GB 12348-2008）；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.《工业自动化仪表工程施工及验收规范》（GBJ93－86）；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.《三点比较式臭袋法》(GB/T14675-1993)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.《大气污染物综合排放标准》 (北京市地标)（DB11/501-2017)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.《电控设备：第一部分低压电器电控设备》(GB4720-1984)；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>.《通用电器设备配电设计规范》(GB50055-2011)；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    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t>现场管理、法律法规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color w:val="000000"/>
                <w:szCs w:val="21"/>
              </w:rPr>
              <w:t>北京中时众亿环保科技有限公司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szCs w:val="21"/>
              </w:rPr>
              <w:t>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szCs w:val="21"/>
              </w:rPr>
              <w:t>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cs="Arial"/>
                <w:color w:val="000000"/>
                <w:kern w:val="0"/>
              </w:rPr>
              <w:t>环保工程（废气综合治理）技术咨询及其相关技术活动：</w:t>
            </w:r>
          </w:p>
          <w:p>
            <w:pPr>
              <w:rPr>
                <w:rFonts w:hint="eastAsia" w:cs="Arial"/>
                <w:color w:val="000000"/>
                <w:kern w:val="0"/>
                <w:szCs w:val="22"/>
              </w:rPr>
            </w:pPr>
            <w:r>
              <w:rPr>
                <w:rFonts w:hint="eastAsia" w:cs="Arial"/>
                <w:color w:val="000000"/>
                <w:kern w:val="0"/>
                <w:szCs w:val="22"/>
              </w:rPr>
              <w:t>立项--资料收集--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项目策划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--编写立项报告--确定服务方案（根据业主实际情况确定出合理的配套废气治理方案---确定工艺----设备工艺流程图与布置图设计----废气治理塔参数----选用设备材料）--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评审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顾客验收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确认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/>
                <w:szCs w:val="21"/>
              </w:rPr>
              <w:t>环保工程（废气综合治理）技术咨询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240" w:lineRule="exact"/>
            </w:pPr>
            <w:r>
              <w:rPr>
                <w:rFonts w:hint="eastAsia"/>
              </w:rPr>
              <w:t>重大环境因素：火灾，固废排放；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有色金属工业固体废物污染控制标准、一般工业固体废物贮存、处置场污染控制标准、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   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color w:val="000000"/>
                <w:szCs w:val="21"/>
              </w:rPr>
              <w:t>北京中时众亿环保科技有限公司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szCs w:val="21"/>
              </w:rPr>
              <w:t>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szCs w:val="21"/>
              </w:rPr>
              <w:t>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cs="Arial"/>
                <w:color w:val="000000"/>
                <w:kern w:val="0"/>
              </w:rPr>
              <w:t>环保工程（废气综合治理）技术咨询及其相关技术活动：</w:t>
            </w:r>
          </w:p>
          <w:p>
            <w:pPr>
              <w:rPr>
                <w:rFonts w:hint="eastAsia" w:cs="Arial"/>
                <w:color w:val="000000"/>
                <w:kern w:val="0"/>
                <w:szCs w:val="22"/>
              </w:rPr>
            </w:pPr>
            <w:r>
              <w:rPr>
                <w:rFonts w:hint="eastAsia" w:cs="Arial"/>
                <w:color w:val="000000"/>
                <w:kern w:val="0"/>
                <w:szCs w:val="22"/>
              </w:rPr>
              <w:t>立项--资料收集--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项目策划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--编写立项报告--确定服务方案（根据业主实际情况确定出合理的配套废气治理方案---确定工艺----设备工艺流程图与布置图设计----废气治理塔参数----选用设备材料）--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评审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--</w:t>
            </w:r>
            <w:r>
              <w:rPr>
                <w:rFonts w:hint="eastAsia" w:cs="Arial"/>
                <w:color w:val="000000"/>
                <w:kern w:val="0"/>
                <w:szCs w:val="22"/>
                <w:lang w:val="en-US" w:eastAsia="zh-CN"/>
              </w:rPr>
              <w:t>顾客验收</w:t>
            </w:r>
            <w:r>
              <w:rPr>
                <w:rFonts w:hint="eastAsia" w:cs="Arial"/>
                <w:color w:val="000000"/>
                <w:kern w:val="0"/>
                <w:szCs w:val="22"/>
              </w:rPr>
              <w:t>确认</w:t>
            </w:r>
          </w:p>
          <w:p>
            <w:pPr>
              <w:tabs>
                <w:tab w:val="left" w:pos="6390"/>
              </w:tabs>
              <w:spacing w:line="360" w:lineRule="auto"/>
              <w:rPr>
                <w:rFonts w:hint="eastAsia" w:ascii="华文中宋" w:hAnsi="华文中宋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color w:val="000000"/>
                <w:sz w:val="21"/>
                <w:szCs w:val="21"/>
                <w:lang w:val="en-US" w:eastAsia="zh-CN"/>
              </w:rPr>
              <w:t>特殊过程：</w:t>
            </w:r>
            <w:r>
              <w:rPr>
                <w:rFonts w:hint="eastAsia" w:ascii="宋体" w:hAnsi="宋体"/>
                <w:szCs w:val="21"/>
              </w:rPr>
              <w:t>环保工程（废气综合治理）技术咨询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不可接受风险：火灾，触电、</w:t>
            </w:r>
            <w:r>
              <w:rPr>
                <w:rFonts w:hint="eastAsia"/>
                <w:lang w:val="en-US" w:eastAsia="zh-CN"/>
              </w:rPr>
              <w:t>意外</w:t>
            </w:r>
            <w:r>
              <w:rPr>
                <w:rFonts w:hint="eastAsia"/>
              </w:rPr>
              <w:t>伤害；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危险源有</w:t>
            </w:r>
            <w:r>
              <w:rPr>
                <w:rFonts w:hint="eastAsia"/>
              </w:rPr>
              <w:t>：使用电器不当造成触电，搬运货物造成的砸伤，吸烟乱扔烟头导致火灾，上下班途中交通危险，电器短路或使用时间过长散热不良，相关方进厂驾驶员违章驾驶等。</w:t>
            </w:r>
          </w:p>
          <w:p>
            <w:pPr>
              <w:pStyle w:val="11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控制措施：培训、检查、提供个人环保及安全</w:t>
            </w:r>
            <w:r>
              <w:rPr>
                <w:rFonts w:hint="eastAsia" w:cs="Times New Roman"/>
                <w:bCs w:val="0"/>
                <w:spacing w:val="0"/>
                <w:kern w:val="2"/>
                <w:sz w:val="24"/>
                <w:szCs w:val="22"/>
                <w:lang w:val="en-US" w:eastAsia="zh-CN" w:bidi="ar-SA"/>
              </w:rPr>
              <w:t>意识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3" w:name="_Hlt226628073"/>
            <w:bookmarkStart w:id="4" w:name="_Hlt22662807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5" w:name="_Hlt202798385"/>
            <w:bookmarkStart w:id="6" w:name="_Hlt202798418"/>
            <w:bookmarkStart w:id="7" w:name="_Hlt202798419"/>
            <w:bookmarkStart w:id="8" w:name="_Hlt202798386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5"/>
            <w:bookmarkEnd w:id="6"/>
            <w:bookmarkEnd w:id="7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9" w:name="_Hlt202798397"/>
            <w:bookmarkStart w:id="10" w:name="_Hlt20279839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1" w:name="_Hlt202801267"/>
            <w:bookmarkStart w:id="12" w:name="_Hlt20280126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3" w:name="_Hlt202801122"/>
            <w:bookmarkStart w:id="14" w:name="_Hlt202801121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5" w:name="_GoBack"/>
      <w:bookmarkEnd w:id="15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E612F39"/>
    <w:rsid w:val="36A36E99"/>
    <w:rsid w:val="53E10BFA"/>
    <w:rsid w:val="77C04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1729</Words>
  <Characters>2024</Characters>
  <Lines>2</Lines>
  <Paragraphs>1</Paragraphs>
  <TotalTime>0</TotalTime>
  <ScaleCrop>false</ScaleCrop>
  <LinksUpToDate>false</LinksUpToDate>
  <CharactersWithSpaces>2045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2022-02-24T02:31:12Z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2052-11.1.0.11045</vt:lpwstr>
  </property>
</Properties>
</file>