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北京东奥华宇国际教育科技有限公司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2021-N1QMS-3205805</w:t>
            </w:r>
          </w:p>
          <w:p>
            <w:pPr>
              <w:snapToGrid w:val="0"/>
              <w:spacing w:line="320" w:lineRule="exact"/>
              <w:ind w:left="1309"/>
              <w:rPr>
                <w:sz w:val="22"/>
                <w:szCs w:val="22"/>
                <w:highlight w:val="yellow"/>
              </w:rPr>
            </w:pPr>
            <w:r>
              <w:rPr>
                <w:sz w:val="22"/>
                <w:szCs w:val="22"/>
                <w:highlight w:val="yellow"/>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2021-N1QMS-2218164</w:t>
            </w:r>
          </w:p>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明景梅</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tcBorders/>
            <w:vAlign w:val="center"/>
          </w:tcPr>
          <w:p>
            <w:pPr>
              <w:snapToGrid w:val="0"/>
              <w:spacing w:line="320" w:lineRule="exact"/>
              <w:ind w:left="1309"/>
              <w:rPr>
                <w:sz w:val="22"/>
                <w:szCs w:val="22"/>
                <w:highlight w:val="yellow"/>
              </w:rPr>
            </w:pPr>
            <w:r>
              <w:rPr>
                <w:sz w:val="22"/>
                <w:szCs w:val="22"/>
                <w:highlight w:val="yellow"/>
              </w:rPr>
              <w:t>ISC-JSZJ-489</w:t>
            </w:r>
          </w:p>
          <w:p>
            <w:pPr>
              <w:snapToGrid w:val="0"/>
              <w:spacing w:line="320" w:lineRule="exact"/>
              <w:ind w:left="1309"/>
              <w:rPr>
                <w:sz w:val="22"/>
                <w:szCs w:val="22"/>
                <w:highlight w:val="yellow"/>
              </w:rPr>
            </w:pPr>
            <w:r>
              <w:rPr>
                <w:sz w:val="22"/>
                <w:szCs w:val="22"/>
                <w:highlight w:val="yellow"/>
              </w:rPr>
              <w:t>ISC-JSZJ-489</w:t>
            </w:r>
          </w:p>
          <w:p>
            <w:pPr>
              <w:snapToGrid w:val="0"/>
              <w:spacing w:line="320" w:lineRule="exact"/>
              <w:ind w:left="1309"/>
              <w:rPr>
                <w:sz w:val="22"/>
                <w:szCs w:val="22"/>
                <w:highlight w:val="yellow"/>
              </w:rPr>
            </w:pPr>
            <w:r>
              <w:rPr>
                <w:sz w:val="22"/>
                <w:szCs w:val="22"/>
                <w:highlight w:val="yellow"/>
              </w:rPr>
              <w:t>ISC-JSZJ-489</w:t>
            </w:r>
          </w:p>
          <w:p>
            <w:pPr>
              <w:snapToGrid w:val="0"/>
              <w:spacing w:line="320" w:lineRule="exact"/>
              <w:ind w:left="1309"/>
              <w:rPr>
                <w:sz w:val="22"/>
                <w:szCs w:val="22"/>
                <w:highlight w:val="yellow"/>
              </w:rPr>
            </w:pPr>
            <w:r>
              <w:rPr>
                <w:sz w:val="22"/>
                <w:szCs w:val="22"/>
                <w:highlight w:val="yellow"/>
              </w:rPr>
              <w:t>北京富乐园物业管理有限公司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2022.2.28</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7C78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2022-02-28T03:48:59Z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