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供销部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李国兵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陈帝恒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喻荣秋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2022年4月11日下午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主要职责：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主管采购、销售、物流、客服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为本部门的管理负责</w:t>
            </w: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人，有责任使本部门人员充分理解环境方针并使之贯彻执行；有责任持续改进本部门的工作绩效。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规定所属人员的职责、权限及相应关系，并接受上级的监督和指导。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制定本部门的管理目标、指标、管理方案；组织开展及落实与本部门相关的管理工作；负责对本部门潜在环境污染事故和紧急情况的确定和控制；负责组织本部门的应急准备与响应以及事故的消除工作；组织整改本部门管理中的不符合项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遵守已确认适用的法律、法规及其他要求；负责对管理体系的运行进行自查。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保证所属人员得到适当培训，指导、协调、监督和检查下属是否严格按规定的职责和程序工作。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负责本部门的节能降耗工作，对本部门的安全销售负全面责任。做好本部门的消防和安全工作，减少疾病和工伤事故。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负责相应业务范围内的外部信息和本部门的信息交流，并就质量环境安全管理体系绩效做好信息的交流、传递和处理工作。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确保本部门的设施、工作环境能够满足质量、环保和职业健康安全的需要。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textAlignment w:val="baseline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汇集、报告和处理本部门员工意见和建议。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E:6.2</w:t>
            </w:r>
          </w:p>
        </w:tc>
        <w:tc>
          <w:tcPr>
            <w:tcW w:w="10004" w:type="dxa"/>
          </w:tcPr>
          <w:p>
            <w:pPr>
              <w:jc w:val="both"/>
              <w:rPr>
                <w:rFonts w:hint="default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供销部目标指标及完成情况</w:t>
            </w:r>
          </w:p>
          <w:p>
            <w:pPr>
              <w:jc w:val="both"/>
              <w:rPr>
                <w:rFonts w:hint="default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查见 </w:t>
            </w: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4月2日统计1-3月供销部环境指标完成情况</w:t>
            </w:r>
          </w:p>
          <w:p>
            <w:pPr>
              <w:pStyle w:val="9"/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105275" cy="1768475"/>
                  <wp:effectExtent l="0" t="0" r="9525" b="14605"/>
                  <wp:docPr id="4" name="图片 4" descr="16497486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49748666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9"/>
              <w:numPr>
                <w:ilvl w:val="0"/>
                <w:numId w:val="0"/>
              </w:numPr>
              <w:ind w:firstLine="630" w:firstLineChars="3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“目标分解考核表”显示对目标完成情况进行了考核</w:t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均完成。</w:t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公司有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环境因素识别、评价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控制程序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，有效文件，无变化。</w:t>
            </w:r>
          </w:p>
          <w:p>
            <w:pPr>
              <w:spacing w:line="280" w:lineRule="exact"/>
              <w:rPr>
                <w:rFonts w:hint="default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查“环境因素辨识和评价表”，识别出综合部环境因素6类42项，对固体废弃物、有毒有害气体排放、超标废水排放、潜在爆炸危险、潜在火灾、危险废液排放等进行了辨识和评价；考虑了生命周期观点。</w:t>
            </w:r>
          </w:p>
          <w:p>
            <w:pPr>
              <w:spacing w:line="28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采取打分法评价，查到2021.4.25“重要环境因素清单”，经评价公司的重要环境因素:意外火灾、固体废弃物排放、废水排放。  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pStyle w:val="9"/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策划了控制措施，2021.10.27制订了“环境目标指标及管理方案”，明确了控制措施、 责任部门、投入资金，启动及完成日期。基本符合要求。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制定了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环境管理相关程序文件和管理制度：</w:t>
            </w:r>
            <w:r>
              <w:rPr>
                <w:rFonts w:hint="eastAsia"/>
              </w:rPr>
              <w:t>主要污染物控制程序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环境因素的识别与评价控制程序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/>
              </w:rPr>
              <w:t>环境监测和测量控制程序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、应急准备和响应控制程序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、适用的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法律、法规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及其他要求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控制程序等；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办公工作场所布局合理，座椅和办公桌符合人体工程学要求，工间能适当走动、休息；办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公环境光照、通风良好，基本满足办公需求；</w:t>
            </w:r>
            <w:r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生产现场有光氧除尘设备设施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原料库房通风良好，分类存放。</w:t>
            </w:r>
          </w:p>
          <w:p>
            <w:pPr>
              <w:pStyle w:val="2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401445" cy="1051560"/>
                  <wp:effectExtent l="0" t="0" r="635" b="0"/>
                  <wp:docPr id="5" name="图片 5" descr="8bc659da76378e42eeee93e99f5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bc659da76378e42eeee93e99f52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590040" cy="1192530"/>
                  <wp:effectExtent l="0" t="0" r="10160" b="11430"/>
                  <wp:docPr id="6" name="图片 6" descr="5f604e560cc5bb65298150036b10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f604e560cc5bb65298150036b10c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</w:t>
            </w: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办公楼办公垃圾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固体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每天投放到物业指定地点，统一处理 。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与相关方的信息交流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相关方环境告知书</w:t>
            </w:r>
            <w:r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相关方</w:t>
            </w:r>
            <w:r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进行了环境有关事项的沟通。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与武汉玉钛钛业化工有限公司、湖北新豪胜化工有限公司、长春化工（江苏）有限公司、江苏天音化工有限公司、上海昊炅助剂有限公司沟通了公司环境体系相关内容。基本符合。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公司有应急准备和响应控制程序，制定了火灾紧急预案。 </w:t>
            </w:r>
          </w:p>
          <w:p>
            <w:pPr>
              <w:spacing w:line="360" w:lineRule="auto"/>
              <w:ind w:firstLine="198" w:firstLineChars="100"/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2021年11月6日行政部组织了仓库所发生火灾应急演练，有演练计划、演练过程记录。</w:t>
            </w:r>
          </w:p>
          <w:p>
            <w:pPr>
              <w:spacing w:line="360" w:lineRule="auto"/>
              <w:ind w:firstLine="198" w:firstLineChars="100"/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演练结果评价：通过本次演习，验证了预案的适宜性和充分性，能够达到要求，另通过演练使现场的工作人员能够明确地认识到各自的职责，熟悉了应急预案的各环节和步骤，能够熟练使用消防栓及灭火器，保证了火势在最短的时间里到控制，人员及时撤离，说明此应急预案是切实可行的，但也反映出有些人员的思想重视程度不够，演练过程不严肃，部分人员对预案要求不明确，在以后的演练培训中需继续加强。</w:t>
            </w:r>
          </w:p>
          <w:p>
            <w:pPr>
              <w:spacing w:line="360" w:lineRule="auto"/>
              <w:ind w:firstLine="198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基本符合。</w:t>
            </w:r>
          </w:p>
          <w:p>
            <w:pPr>
              <w:spacing w:line="360" w:lineRule="auto"/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-27940</wp:posOffset>
          </wp:positionV>
          <wp:extent cx="481330" cy="484505"/>
          <wp:effectExtent l="0" t="0" r="6350" b="317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7929245</wp:posOffset>
              </wp:positionH>
              <wp:positionV relativeFrom="paragraph">
                <wp:posOffset>27940</wp:posOffset>
              </wp:positionV>
              <wp:extent cx="130048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4.35pt;margin-top:2.2pt;height:20.2pt;width:102.4pt;z-index:251659264;mso-width-relative:page;mso-height-relative:page;" fillcolor="#FFFFFF" filled="t" stroked="f" coordsize="21600,21600" o:gfxdata="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srsI3XAAAACgEAAA8A&#10;AAAAAAAAAQAgAAAAIgAAAGRycy9kb3ducmV2LnhtbFBLAQIUABQAAAAIAIdO4kCR5roX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3F20"/>
    <w:multiLevelType w:val="multilevel"/>
    <w:tmpl w:val="4E303F20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84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DEC"/>
    <w:rsid w:val="02B8131E"/>
    <w:rsid w:val="02CF07A5"/>
    <w:rsid w:val="04662607"/>
    <w:rsid w:val="075664F7"/>
    <w:rsid w:val="08ED24BC"/>
    <w:rsid w:val="0BC53946"/>
    <w:rsid w:val="0C151F13"/>
    <w:rsid w:val="0D6D78E6"/>
    <w:rsid w:val="11D84CD4"/>
    <w:rsid w:val="1518442B"/>
    <w:rsid w:val="153512FA"/>
    <w:rsid w:val="16964DEC"/>
    <w:rsid w:val="16F25E83"/>
    <w:rsid w:val="196223AE"/>
    <w:rsid w:val="22094F7E"/>
    <w:rsid w:val="24BB750B"/>
    <w:rsid w:val="24C05FA8"/>
    <w:rsid w:val="2607287F"/>
    <w:rsid w:val="266249C3"/>
    <w:rsid w:val="271E20E3"/>
    <w:rsid w:val="296B3194"/>
    <w:rsid w:val="2A3B4EC5"/>
    <w:rsid w:val="2F403519"/>
    <w:rsid w:val="31DB6013"/>
    <w:rsid w:val="32B42895"/>
    <w:rsid w:val="32D30943"/>
    <w:rsid w:val="34F46FF7"/>
    <w:rsid w:val="37BC363B"/>
    <w:rsid w:val="3A2F44F0"/>
    <w:rsid w:val="3AC339F3"/>
    <w:rsid w:val="3ECB4923"/>
    <w:rsid w:val="3F60506B"/>
    <w:rsid w:val="40081862"/>
    <w:rsid w:val="41D84319"/>
    <w:rsid w:val="41DA4162"/>
    <w:rsid w:val="42896F59"/>
    <w:rsid w:val="4706246F"/>
    <w:rsid w:val="47AA7CF5"/>
    <w:rsid w:val="47EB3F00"/>
    <w:rsid w:val="4A911548"/>
    <w:rsid w:val="4C7B2DE3"/>
    <w:rsid w:val="4D970060"/>
    <w:rsid w:val="4F1D658B"/>
    <w:rsid w:val="4FDA59F6"/>
    <w:rsid w:val="54B73AB9"/>
    <w:rsid w:val="568E2A00"/>
    <w:rsid w:val="59165059"/>
    <w:rsid w:val="5B156B42"/>
    <w:rsid w:val="5C79423D"/>
    <w:rsid w:val="5C8D7F47"/>
    <w:rsid w:val="5D856E68"/>
    <w:rsid w:val="5EFE51E4"/>
    <w:rsid w:val="5F760DB4"/>
    <w:rsid w:val="601B1071"/>
    <w:rsid w:val="60612C70"/>
    <w:rsid w:val="60F73305"/>
    <w:rsid w:val="61C354AC"/>
    <w:rsid w:val="63023683"/>
    <w:rsid w:val="64984C8B"/>
    <w:rsid w:val="654431D7"/>
    <w:rsid w:val="65AC626B"/>
    <w:rsid w:val="665E5012"/>
    <w:rsid w:val="683D2049"/>
    <w:rsid w:val="696F7841"/>
    <w:rsid w:val="698E6DCD"/>
    <w:rsid w:val="6ED34A18"/>
    <w:rsid w:val="700E5CDD"/>
    <w:rsid w:val="70AA50FB"/>
    <w:rsid w:val="73F57CB1"/>
    <w:rsid w:val="747F47E9"/>
    <w:rsid w:val="7618603D"/>
    <w:rsid w:val="7B404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exact"/>
      <w:ind w:left="630" w:leftChars="300"/>
    </w:pPr>
    <w:rPr>
      <w:rFonts w:eastAsia="楷体_GB2312"/>
      <w:sz w:val="2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0"/>
    <w:rPr>
      <w:color w:val="333333"/>
      <w:sz w:val="18"/>
      <w:szCs w:val="18"/>
      <w:u w:val="none"/>
    </w:rPr>
  </w:style>
  <w:style w:type="character" w:customStyle="1" w:styleId="14">
    <w:name w:val="页眉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秋子(喻荣秋)</cp:lastModifiedBy>
  <dcterms:modified xsi:type="dcterms:W3CDTF">2022-04-12T08:17:49Z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DBBE743461FD444198E5CE969FEED69C</vt:lpwstr>
  </property>
</Properties>
</file>