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1940" cy="9451975"/>
            <wp:effectExtent l="0" t="0" r="10160" b="9525"/>
            <wp:docPr id="1" name="图片 1" descr="新文档 2022-01-19 11.14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1-19 11.14.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94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96"/>
        <w:gridCol w:w="754"/>
        <w:gridCol w:w="948"/>
        <w:gridCol w:w="36"/>
        <w:gridCol w:w="1380"/>
        <w:gridCol w:w="358"/>
        <w:gridCol w:w="732"/>
        <w:gridCol w:w="1006"/>
        <w:gridCol w:w="726"/>
        <w:gridCol w:w="354"/>
        <w:gridCol w:w="287"/>
        <w:gridCol w:w="109"/>
        <w:gridCol w:w="262"/>
        <w:gridCol w:w="25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288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山东金坤规划设计研究院有限公司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288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山东省济南市高新区康桥颐东项目A地块公建楼2-809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288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济南市历城区唐冶街道988号银丰新能源产业园29栋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马林林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13864151771</w:t>
            </w:r>
            <w:bookmarkEnd w:id="4"/>
          </w:p>
        </w:tc>
        <w:tc>
          <w:tcPr>
            <w:tcW w:w="6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jkny2018@126.com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0044-2022-QEO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84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88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288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88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90" w:type="dxa"/>
            <w:gridSpan w:val="10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4" w:name="审核范围"/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  <w:lang w:eastAsia="zh-CN"/>
              </w:rPr>
              <w:t>资质范围内土地利用规划、土地整治规划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  <w:lang w:eastAsia="zh-CN"/>
              </w:rPr>
              <w:t>资质范围内土地利用规划、土地整治规划</w:t>
            </w:r>
            <w:r>
              <w:rPr>
                <w:sz w:val="20"/>
              </w:rPr>
              <w:t>所涉及场所的相关环境管理活动O：</w:t>
            </w:r>
            <w:r>
              <w:rPr>
                <w:rFonts w:hint="eastAsia"/>
                <w:sz w:val="20"/>
                <w:lang w:eastAsia="zh-CN"/>
              </w:rPr>
              <w:t>资质范围内土地利用规划、土地整治规划</w:t>
            </w:r>
            <w:r>
              <w:rPr>
                <w:sz w:val="20"/>
              </w:rPr>
              <w:t>所涉及场所的相关职业健康安全管理活动</w:t>
            </w:r>
            <w:bookmarkEnd w:id="14"/>
          </w:p>
        </w:tc>
        <w:tc>
          <w:tcPr>
            <w:tcW w:w="39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Q：34.01.01;34.01.02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O：34.01.01;34.01.02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88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8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2022年01月18日 下午至2022年01月19日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1.5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8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4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E:34.01.01,34.01.02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Q:34.01.01,34.01.02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430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2022.1.14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37"/>
        <w:gridCol w:w="636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2022.1.18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环境因素/危险源辨识；合规性评价；监视和测量总则；管理评审；总则；持续改进；范围的确认、资质的确认、法律法规执行情况、质量抽查及顾客投诉情况、一阶段不符合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涉及条款：QEO4.1/4.2/4.3/4.4/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5.1/5.2/5.3/6.1/6.2/7.1/9.3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10.1/10.3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；Q9.1.1/6.3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土地整治部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：组织的岗位、职责权限；目标；</w:t>
            </w:r>
            <w:r>
              <w:rPr>
                <w:rFonts w:hint="eastAsia"/>
                <w:sz w:val="21"/>
                <w:szCs w:val="21"/>
              </w:rPr>
              <w:t>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生产和服务提供的控制；标识和可追溯性；产品防护；</w:t>
            </w:r>
            <w:r>
              <w:rPr>
                <w:rFonts w:hint="eastAsia"/>
                <w:sz w:val="21"/>
                <w:szCs w:val="21"/>
              </w:rPr>
              <w:t>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产品和服务的放行；不合格输出的控制；环境因素、危险源辨识、风险评价和控制措施的确定；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运行空着；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A审核E/6.2/6.1.2/8.1/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/6.2/6.1.2/8.1/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.1/8.5.2/8.5.4/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2022.1.1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组织的岗位、职责权限；目标、指标；环境因素/危险源识别评价；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产品和服务要求；顾客满意；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/6.1.2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/8.1/8.2/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10:00-16:30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综合部/财务部：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综合部：基础设施；运行环境；监视和测量资源；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涉及条款：B审核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7.1.3/7.1.4/7.1.5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A审核EO6.1.2/6.1.3/9.1.1/9.1.2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规划设计部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：组织的岗位、职责权限；目标；</w:t>
            </w:r>
            <w:r>
              <w:rPr>
                <w:rFonts w:hint="eastAsia"/>
                <w:sz w:val="21"/>
                <w:szCs w:val="21"/>
              </w:rPr>
              <w:t>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生产和服务提供的控制；标识和可追溯性；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顾客财产；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产品防护；</w:t>
            </w:r>
            <w:r>
              <w:rPr>
                <w:rFonts w:hint="eastAsia"/>
                <w:sz w:val="21"/>
                <w:szCs w:val="21"/>
              </w:rPr>
              <w:t>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产品和服务的放行；不合格输出的控制；环境因素、危险源辨识、风险评价和控制措施的确定；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运行空着；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bookmarkStart w:id="23" w:name="_GoBack"/>
            <w:bookmarkEnd w:id="2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Q8.5.2/8.5.3/8.5.4/8.5.5；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E/6.2/6.1.2/8.1/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/6.2/6.1.2/8.1/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.1/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8.5.6/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C7251"/>
    <w:rsid w:val="26D73DAF"/>
    <w:rsid w:val="30FF2C51"/>
    <w:rsid w:val="3D2950F6"/>
    <w:rsid w:val="3D454C5E"/>
    <w:rsid w:val="5CDA16CD"/>
    <w:rsid w:val="7F5F1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18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2022-01-19T06:39:43Z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