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bookmarkStart w:id="1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-1878965</wp:posOffset>
            </wp:positionH>
            <wp:positionV relativeFrom="paragraph">
              <wp:posOffset>909955</wp:posOffset>
            </wp:positionV>
            <wp:extent cx="10615930" cy="7550150"/>
            <wp:effectExtent l="0" t="0" r="635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593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8"/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成都邦瑞创达科技有限公司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赵军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left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jc w:val="left"/>
              <w:rPr>
                <w:rFonts w:hint="default" w:ascii="方正仿宋简体" w:eastAsia="方正仿宋简体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行政部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不能提供2021年合规性评价记录，不符合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标准9.1.2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“组织应保留文件化信息，作为合规性评价结果的证据”.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9.1.2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6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E461BD3"/>
    <w:rsid w:val="4D186E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2022-01-19T12:53:31Z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2052-11.1.0.11294</vt:lpwstr>
  </property>
</Properties>
</file>