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8959B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  <w:lang w:val="en-US" w:eastAsia="zh-CN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山东福王家具有限公司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2025年10月14日下午至2025年10月15日上午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43267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313597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121486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686628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597278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91224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84167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692542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055422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8953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802253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015840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665182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605064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34D5C50A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14:paraId="260079F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74151A74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42922D9C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6F9977F9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53B0D0D0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>说明：《审核记录表》中，重点对下面《绩效检查评价表》中未涉及到的条款进行审核描述。比如5.1领导作用与承诺；6.1.1风险和机遇的确认；6.1.2绿色属性；9.1.2合规性评价9.2内审9.3管理评审10.2不合格和纠正措施10.4突破型变更10.5创新与重组及领导访谈等内容</w:t>
      </w:r>
    </w:p>
    <w:p w14:paraId="2331102E">
      <w:pPr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项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检查表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1685"/>
        <w:gridCol w:w="4936"/>
        <w:gridCol w:w="4239"/>
      </w:tblGrid>
      <w:tr w14:paraId="243304B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70EF031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内容</w:t>
            </w:r>
          </w:p>
        </w:tc>
        <w:tc>
          <w:tcPr>
            <w:tcW w:w="1685" w:type="dxa"/>
            <w:vAlign w:val="center"/>
          </w:tcPr>
          <w:p w14:paraId="5D5C6D0A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类型</w:t>
            </w:r>
          </w:p>
        </w:tc>
        <w:tc>
          <w:tcPr>
            <w:tcW w:w="4936" w:type="dxa"/>
            <w:vAlign w:val="center"/>
          </w:tcPr>
          <w:p w14:paraId="35BA8B3E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审核要求</w:t>
            </w:r>
          </w:p>
        </w:tc>
        <w:tc>
          <w:tcPr>
            <w:tcW w:w="4239" w:type="dxa"/>
            <w:vAlign w:val="center"/>
          </w:tcPr>
          <w:p w14:paraId="266C3BF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审核结果</w:t>
            </w:r>
          </w:p>
        </w:tc>
      </w:tr>
      <w:tr w14:paraId="17177C1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14:paraId="7C07E24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申请组织是否守法达标,近1年内应未受过质量、安全、环保方面的处罚?</w:t>
            </w:r>
          </w:p>
          <w:p w14:paraId="35148CB7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C9103F0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026A02A8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是,继续进行评价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；</w:t>
            </w:r>
          </w:p>
        </w:tc>
        <w:tc>
          <w:tcPr>
            <w:tcW w:w="4239" w:type="dxa"/>
            <w:vAlign w:val="center"/>
          </w:tcPr>
          <w:p w14:paraId="061FA57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6A8F733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14:paraId="78D049F0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7056FFA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5EFED08F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近1年内受过环保处罚，不予受理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4239" w:type="dxa"/>
            <w:vAlign w:val="center"/>
          </w:tcPr>
          <w:p w14:paraId="5D9C79C4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记录处罚内容：</w:t>
            </w:r>
          </w:p>
        </w:tc>
      </w:tr>
      <w:tr w14:paraId="38E1577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14:paraId="6E3D1B0B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是否建立绿色供应链管理的措施并有效实施?</w:t>
            </w:r>
          </w:p>
          <w:p w14:paraId="4377D6F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488F67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67B2FE0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建有管理措施并有效实施,完成设定的目标</w:t>
            </w:r>
          </w:p>
        </w:tc>
        <w:tc>
          <w:tcPr>
            <w:tcW w:w="4239" w:type="dxa"/>
            <w:vMerge w:val="restart"/>
            <w:vAlign w:val="center"/>
          </w:tcPr>
          <w:p w14:paraId="7A705A55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825E52A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14:paraId="5D6B5477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AEFE108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32BA96A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未建立管理措施,不予受理</w:t>
            </w:r>
          </w:p>
          <w:p w14:paraId="6FF7D250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39" w:type="dxa"/>
            <w:vMerge/>
            <w:vAlign w:val="center"/>
          </w:tcPr>
          <w:p w14:paraId="23C167B6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865611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14:paraId="4AC58261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是否建立并保持文件化的文件和资料的控制程序，对相关记录的保存期限应有文件规定?</w:t>
            </w:r>
          </w:p>
          <w:p w14:paraId="64CA17A2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3840A42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3AAEEA9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建立文件和资料控制程序，并保留1年以上</w:t>
            </w:r>
          </w:p>
        </w:tc>
        <w:tc>
          <w:tcPr>
            <w:tcW w:w="4239" w:type="dxa"/>
            <w:vMerge w:val="restart"/>
            <w:vAlign w:val="center"/>
          </w:tcPr>
          <w:p w14:paraId="63C8D21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55652D37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14:paraId="4D45163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5D19392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61DB3E7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14:paraId="5BF582D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27EEBB89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</w:p>
    <w:p w14:paraId="28554B5A">
      <w:pPr>
        <w:pStyle w:val="a"/>
        <w:jc w:val="center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管理绩效和运行绩效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评价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表</w:t>
      </w:r>
    </w:p>
    <w:p w14:paraId="7D4E7EF3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 xml:space="preserve">审核员：             </w:t>
      </w:r>
      <w:bookmarkStart w:id="4" w:name="_GoBack"/>
      <w:bookmarkEnd w:id="4"/>
    </w:p>
    <w:tbl>
      <w:tblPr>
        <w:tblStyle w:val="TableGrid"/>
        <w:tblW w:w="141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 w14:paraId="1E328578">
        <w:tblPrEx>
          <w:tblW w:w="14111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  <w:tblHeader/>
        </w:trPr>
        <w:tc>
          <w:tcPr>
            <w:tcW w:w="688" w:type="dxa"/>
          </w:tcPr>
          <w:p w14:paraId="78358A2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89" w:type="dxa"/>
          </w:tcPr>
          <w:p w14:paraId="510F0EE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1189" w:type="dxa"/>
          </w:tcPr>
          <w:p w14:paraId="6D7E37F7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817" w:type="dxa"/>
          </w:tcPr>
          <w:p w14:paraId="15556D3B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权重</w:t>
            </w:r>
          </w:p>
        </w:tc>
        <w:tc>
          <w:tcPr>
            <w:tcW w:w="1586" w:type="dxa"/>
          </w:tcPr>
          <w:p w14:paraId="008B278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对应条款及二级指标</w:t>
            </w:r>
          </w:p>
        </w:tc>
        <w:tc>
          <w:tcPr>
            <w:tcW w:w="808" w:type="dxa"/>
          </w:tcPr>
          <w:p w14:paraId="15935F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3887" w:type="dxa"/>
          </w:tcPr>
          <w:p w14:paraId="29A5B5E7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点（可根据企业情况增加）</w:t>
            </w:r>
          </w:p>
        </w:tc>
        <w:tc>
          <w:tcPr>
            <w:tcW w:w="3238" w:type="dxa"/>
          </w:tcPr>
          <w:p w14:paraId="63A33342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符合性说明</w:t>
            </w:r>
          </w:p>
        </w:tc>
        <w:tc>
          <w:tcPr>
            <w:tcW w:w="709" w:type="dxa"/>
          </w:tcPr>
          <w:p w14:paraId="7EBD96CC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得分</w:t>
            </w:r>
          </w:p>
        </w:tc>
      </w:tr>
      <w:tr w14:paraId="21D02F5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231A2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14:paraId="00C88E4E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4477CF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14:paraId="6256D2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412BE2D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5.1、5.2、6.2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绿色发展规划、目标 X101</w:t>
            </w:r>
          </w:p>
          <w:p w14:paraId="5A3CB9F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404258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12D955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将绿色发展战略纳入企业规划，制定３年～５年供应链绿色提升目标，确定每一年的分目标，如： </w:t>
            </w:r>
          </w:p>
          <w:p w14:paraId="29025D7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绿色供应链方针或领导承诺</w:t>
            </w:r>
            <w:r>
              <w:rPr>
                <w:rFonts w:ascii="宋体" w:eastAsia="宋体" w:hAnsi="宋体"/>
                <w:sz w:val="21"/>
                <w:szCs w:val="21"/>
              </w:rPr>
              <w:t>；</w:t>
            </w:r>
          </w:p>
          <w:p w14:paraId="4498609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●绿色供应链提升目标（尽可能量化） </w:t>
            </w:r>
          </w:p>
        </w:tc>
        <w:tc>
          <w:tcPr>
            <w:tcW w:w="3238" w:type="dxa"/>
          </w:tcPr>
          <w:p w14:paraId="4983016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05443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DB52D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8A27662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14:paraId="51EBAD4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6A2406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8AD3A1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B51E6A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4、6.1.2.2、7.5</w:t>
            </w:r>
          </w:p>
          <w:p w14:paraId="1DDEC39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绿色供应链管理体系 X102</w:t>
            </w:r>
          </w:p>
          <w:p w14:paraId="797E546D">
            <w:pPr>
              <w:pStyle w:val="a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4F4C80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2B07708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14:paraId="6C0880B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●产品绿色设计；</w:t>
            </w:r>
          </w:p>
          <w:p w14:paraId="6BDE59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●绿色采购；</w:t>
            </w:r>
          </w:p>
          <w:p w14:paraId="26FE3E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●绿色生产；</w:t>
            </w:r>
          </w:p>
          <w:p w14:paraId="4CBEA0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●绿色物流；</w:t>
            </w:r>
          </w:p>
          <w:p w14:paraId="12BF91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●绿色回收及末端处置；</w:t>
            </w:r>
          </w:p>
          <w:p w14:paraId="2AABC4D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14:paraId="78E1D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1E1E3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1608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4BE272D0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14:paraId="7975D1D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813F6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0EA28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AF4702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5.3、7.1、7.2、7.3</w:t>
            </w:r>
          </w:p>
          <w:p w14:paraId="56B4B2A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机</w:t>
            </w:r>
            <w:r>
              <w:rPr>
                <w:rFonts w:ascii="宋体" w:eastAsia="宋体" w:hAnsi="宋体"/>
                <w:sz w:val="21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14:paraId="68E42A5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4A7801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建立有效的组织机构（或对现有机构及资源进行整合），满足绿色供应链管理需要。提供必要的人力、财力、设备、信息及知识等资源，以保障机构的有效运行；明确绿色供应链管理相关部门、人员和职责 </w:t>
            </w:r>
          </w:p>
        </w:tc>
        <w:tc>
          <w:tcPr>
            <w:tcW w:w="3238" w:type="dxa"/>
          </w:tcPr>
          <w:p w14:paraId="521AC03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10CE08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8A4005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/>
        </w:trPr>
        <w:tc>
          <w:tcPr>
            <w:tcW w:w="688" w:type="dxa"/>
          </w:tcPr>
          <w:p w14:paraId="48E27169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14:paraId="63FC59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</w:tcPr>
          <w:p w14:paraId="4F84F2F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</w:tcPr>
          <w:p w14:paraId="7C2A10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C38F044">
            <w:pPr>
              <w:jc w:val="left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10.1、10.3</w:t>
            </w:r>
          </w:p>
          <w:p w14:paraId="524A1CD2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14:paraId="13D824E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2F3BD74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14:paraId="447FE9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5DAAF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F9D1AD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/>
        </w:trPr>
        <w:tc>
          <w:tcPr>
            <w:tcW w:w="688" w:type="dxa"/>
          </w:tcPr>
          <w:p w14:paraId="7D284BF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14:paraId="41A16E9C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14:paraId="33776FC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2220EF7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14:paraId="692EDFD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4A235B5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139CB8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14:paraId="77BD4A5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3887" w:type="dxa"/>
          </w:tcPr>
          <w:p w14:paraId="4C58BCC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产品进行绿色设计或对现有产品进行绿色改进设计。提高产品绿色性（如资源消耗、环境排放、有害物质使用、回收利用性等）；产品满足相关方绿色性要求（来自标准、采购方或其他相关方） </w:t>
            </w:r>
          </w:p>
        </w:tc>
        <w:tc>
          <w:tcPr>
            <w:tcW w:w="3238" w:type="dxa"/>
          </w:tcPr>
          <w:p w14:paraId="7800B9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80BC8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3716CE2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D028B0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14:paraId="12E15BA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847097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A1606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FE3AC6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</w:p>
          <w:p w14:paraId="63DB26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工艺绿色设计Ｘ２０２</w:t>
            </w:r>
          </w:p>
        </w:tc>
        <w:tc>
          <w:tcPr>
            <w:tcW w:w="808" w:type="dxa"/>
          </w:tcPr>
          <w:p w14:paraId="27F1C3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7718F19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工艺技术、流程及工艺设备进行绿色属性识别和核查，针对重点问题进行工艺优化和改进</w:t>
            </w:r>
          </w:p>
        </w:tc>
        <w:tc>
          <w:tcPr>
            <w:tcW w:w="3238" w:type="dxa"/>
          </w:tcPr>
          <w:p w14:paraId="1FEC05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5F390D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DAABD4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D5B8F6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14:paraId="4ADDCB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2C128E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9B52FA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EA5C3F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包装</w:t>
            </w:r>
            <w:r>
              <w:rPr>
                <w:rFonts w:ascii="宋体" w:eastAsia="宋体" w:hAnsi="宋体"/>
                <w:sz w:val="21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203</w:t>
            </w:r>
          </w:p>
        </w:tc>
        <w:tc>
          <w:tcPr>
            <w:tcW w:w="808" w:type="dxa"/>
          </w:tcPr>
          <w:p w14:paraId="3608124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43F8E98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14:paraId="532D312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5D9152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B33496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49CB9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14:paraId="660CF51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9257A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F2620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1692B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204</w:t>
            </w:r>
          </w:p>
        </w:tc>
        <w:tc>
          <w:tcPr>
            <w:tcW w:w="808" w:type="dxa"/>
          </w:tcPr>
          <w:p w14:paraId="2FFCBE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41F0BE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14:paraId="2BAF5B5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FB588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3BF5A6B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4B82A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14:paraId="591F9DD2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255165D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5901DBC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14:paraId="671835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14:paraId="64C9ABD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14:paraId="3075FE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8986B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制定系统的绿色供应商选择原则及绿色供应商评估、监督、业绩评价管理程序，形成标准或管理制度文件对供应商进行风险评估，根据风险评估结果 </w:t>
            </w:r>
          </w:p>
        </w:tc>
        <w:tc>
          <w:tcPr>
            <w:tcW w:w="3238" w:type="dxa"/>
          </w:tcPr>
          <w:p w14:paraId="774C48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B027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3CDF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24E1F9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14:paraId="3E2B63F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A0601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BA5A70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48F7EF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66CC17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求X302</w:t>
            </w:r>
          </w:p>
        </w:tc>
        <w:tc>
          <w:tcPr>
            <w:tcW w:w="808" w:type="dxa"/>
            <w:vAlign w:val="center"/>
          </w:tcPr>
          <w:p w14:paraId="42AF53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660B252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14:paraId="63ED533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94B4D2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D296B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8A570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14:paraId="6E99C64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C8FA3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58FBF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11012D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14:paraId="3B4D19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C211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14:paraId="2321745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A330D1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B080D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E3EFDE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14:paraId="28C691C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E270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96E102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BA74F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14:paraId="120A679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6F115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对供应商实施分类管理 对合格供应商定期审核监督，推动供应商持续改进</w:t>
            </w:r>
          </w:p>
        </w:tc>
        <w:tc>
          <w:tcPr>
            <w:tcW w:w="3238" w:type="dxa"/>
          </w:tcPr>
          <w:p w14:paraId="074977A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4FA379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5A40A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53E4F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14:paraId="1F85C1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D6AD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67AC6B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EA6B97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监督X305</w:t>
            </w:r>
          </w:p>
        </w:tc>
        <w:tc>
          <w:tcPr>
            <w:tcW w:w="808" w:type="dxa"/>
            <w:vAlign w:val="center"/>
          </w:tcPr>
          <w:p w14:paraId="578FA65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2314F70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对供应商定期进行绿色绩效评价，如： </w:t>
            </w:r>
          </w:p>
          <w:p w14:paraId="7C8E63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●产品绿色化程度； </w:t>
            </w:r>
          </w:p>
          <w:p w14:paraId="4F59F94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●生产过程绿色化程度； </w:t>
            </w:r>
          </w:p>
          <w:p w14:paraId="73B91F6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●生产变更情况； </w:t>
            </w:r>
          </w:p>
          <w:p w14:paraId="5C0B2D8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●审核监督与改进； </w:t>
            </w:r>
          </w:p>
          <w:p w14:paraId="05DD82A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●异常事件与整改； </w:t>
            </w:r>
          </w:p>
          <w:p w14:paraId="2B9D5B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●管理过程综合评价等</w:t>
            </w:r>
          </w:p>
        </w:tc>
        <w:tc>
          <w:tcPr>
            <w:tcW w:w="3238" w:type="dxa"/>
          </w:tcPr>
          <w:p w14:paraId="7C87576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FD2E6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F90E8B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DAB0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14:paraId="76DD700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73A3A6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3CA7C0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ADD333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14:paraId="1AF32D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15F3A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14:paraId="5D156C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171E9A7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028CEC6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5043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14:paraId="01F52F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18EB8A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1C6D52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34BD5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  <w:r>
              <w:rPr>
                <w:rFonts w:ascii="宋体" w:eastAsia="宋体" w:hAnsi="宋体"/>
                <w:sz w:val="21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应X307</w:t>
            </w:r>
          </w:p>
        </w:tc>
        <w:tc>
          <w:tcPr>
            <w:tcW w:w="808" w:type="dxa"/>
            <w:vAlign w:val="center"/>
          </w:tcPr>
          <w:p w14:paraId="575BE07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1A61762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14:paraId="47F37CE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D4F18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247B6F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C8A11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14:paraId="7E95BF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E1F44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0062A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0074B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7.5</w:t>
            </w:r>
            <w:r>
              <w:rPr>
                <w:rFonts w:ascii="宋体" w:eastAsia="宋体" w:hAnsi="宋体"/>
                <w:sz w:val="21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理X308</w:t>
            </w:r>
          </w:p>
        </w:tc>
        <w:tc>
          <w:tcPr>
            <w:tcW w:w="808" w:type="dxa"/>
            <w:vAlign w:val="center"/>
          </w:tcPr>
          <w:p w14:paraId="14C9CF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4CE2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14:paraId="50F4609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E3167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CB9331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9EFE3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14:paraId="72E4D51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59FF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BAB3F1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6E7CE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沟通与培训X309</w:t>
            </w:r>
          </w:p>
        </w:tc>
        <w:tc>
          <w:tcPr>
            <w:tcW w:w="808" w:type="dxa"/>
            <w:vAlign w:val="center"/>
          </w:tcPr>
          <w:p w14:paraId="6FF46C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379788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38" w:type="dxa"/>
          </w:tcPr>
          <w:p w14:paraId="0A7A4E4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3F98B4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4F625C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688" w:type="dxa"/>
            <w:vAlign w:val="center"/>
          </w:tcPr>
          <w:p w14:paraId="54935A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14:paraId="6532A455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378D2A9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14:paraId="05B6070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28F9F1B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/>
                <w:sz w:val="21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X401</w:t>
            </w:r>
          </w:p>
        </w:tc>
        <w:tc>
          <w:tcPr>
            <w:tcW w:w="808" w:type="dxa"/>
          </w:tcPr>
          <w:p w14:paraId="125E56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5435178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14:paraId="712892B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D56A8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F44CA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9E681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14:paraId="1B7F165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0391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06EEF0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0777AF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X402</w:t>
            </w:r>
          </w:p>
        </w:tc>
        <w:tc>
          <w:tcPr>
            <w:tcW w:w="808" w:type="dxa"/>
          </w:tcPr>
          <w:p w14:paraId="1228E5B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00F7952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14:paraId="4CD572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C5D79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4EC56A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BC510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14:paraId="2A39BD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C5AF4C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E3B2F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81121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污染</w:t>
            </w:r>
            <w:r>
              <w:rPr>
                <w:rFonts w:ascii="宋体" w:eastAsia="宋体" w:hAnsi="宋体"/>
                <w:sz w:val="21"/>
                <w:szCs w:val="21"/>
              </w:rPr>
              <w:t>物排放Ｘ４０３</w:t>
            </w:r>
          </w:p>
        </w:tc>
        <w:tc>
          <w:tcPr>
            <w:tcW w:w="808" w:type="dxa"/>
          </w:tcPr>
          <w:p w14:paraId="374AB8A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5117A50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及噪声数据，并 满足国家和地方的标准</w:t>
            </w:r>
          </w:p>
        </w:tc>
        <w:tc>
          <w:tcPr>
            <w:tcW w:w="3238" w:type="dxa"/>
          </w:tcPr>
          <w:p w14:paraId="01AD03A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CADB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5D8FF9B7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8E61C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14:paraId="3191313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6BEDBA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8B4EC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0D4D8A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14:paraId="447CC2E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31F7C7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14:paraId="7094B4D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BC376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255753B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CDDDB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14:paraId="0F31268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96980E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6EEA39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47D39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系统X405</w:t>
            </w:r>
          </w:p>
        </w:tc>
        <w:tc>
          <w:tcPr>
            <w:tcW w:w="808" w:type="dxa"/>
          </w:tcPr>
          <w:p w14:paraId="091C55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460E0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建立和健全用能计量系统，监测和记录生产过程中的能源及水资源消耗；</w:t>
            </w:r>
          </w:p>
          <w:p w14:paraId="100433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14:paraId="5911353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FA8293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E4A05D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356E02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14:paraId="7CD81C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2CF277E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49ECFE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4D4BA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单位产品综合能耗Ｘ４０６</w:t>
            </w:r>
          </w:p>
        </w:tc>
        <w:tc>
          <w:tcPr>
            <w:tcW w:w="808" w:type="dxa"/>
          </w:tcPr>
          <w:p w14:paraId="25588A1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AAA51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单位产品综合能耗符合相关国家、行业标准中的限额要求；</w:t>
            </w:r>
          </w:p>
          <w:p w14:paraId="4CE911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14:paraId="349AE80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11D4F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DCC0A7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/>
        </w:trPr>
        <w:tc>
          <w:tcPr>
            <w:tcW w:w="688" w:type="dxa"/>
          </w:tcPr>
          <w:p w14:paraId="68237E2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14:paraId="7DDAD60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73FB7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ED43A4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33622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14:paraId="3B5CEF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3DE4A0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开展节水评价工作，且满足行业取水定额要求 （如果有）</w:t>
            </w:r>
          </w:p>
        </w:tc>
        <w:tc>
          <w:tcPr>
            <w:tcW w:w="3238" w:type="dxa"/>
          </w:tcPr>
          <w:p w14:paraId="7DB20F6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3F83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9127C0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8BC5E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14:paraId="408605DE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0C79B20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14:paraId="1D0A691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638774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14:paraId="2171BB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36804F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14:paraId="2234B9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46200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6A4353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E269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14:paraId="2FA1D2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FA0F5C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F235F0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C7C17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/>
                <w:sz w:val="21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14:paraId="362CB7A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1D1F04C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14:paraId="5D31622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产品及包装物可回收的企业，建立逆向物料渠道和管理程序 </w:t>
            </w:r>
          </w:p>
        </w:tc>
        <w:tc>
          <w:tcPr>
            <w:tcW w:w="3238" w:type="dxa"/>
          </w:tcPr>
          <w:p w14:paraId="09455C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25274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BB933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AD0BE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14:paraId="0D83AC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359917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46492D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E353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14:paraId="7570147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3887" w:type="dxa"/>
          </w:tcPr>
          <w:p w14:paraId="05352CF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根据产品特性，如需要，制定保证产品完整性及防止有害物质泄漏的运输、储存要求，如：运输过程特殊要求，仓储环境条件要求（如：温度、湿度、光照等要素）等 </w:t>
            </w:r>
          </w:p>
        </w:tc>
        <w:tc>
          <w:tcPr>
            <w:tcW w:w="3238" w:type="dxa"/>
          </w:tcPr>
          <w:p w14:paraId="432DD4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B614D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B19ABBC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88" w:type="dxa"/>
          </w:tcPr>
          <w:p w14:paraId="587DBD0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14:paraId="6601AB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500469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89EE9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9972BE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14:paraId="42876E1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35F33B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14:paraId="1FA9628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BC0A3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B8B7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286ED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14:paraId="48F1798D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5E49F1E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14:paraId="63A05E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DEBBB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收体系Ｘ６０１ </w:t>
            </w:r>
          </w:p>
        </w:tc>
        <w:tc>
          <w:tcPr>
            <w:tcW w:w="808" w:type="dxa"/>
          </w:tcPr>
          <w:p w14:paraId="6EE4593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0F7836B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14:paraId="398EB5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CF1F2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3BE21A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1071F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14:paraId="2418372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1D2C745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7678B1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50FC3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下</w:t>
            </w:r>
            <w:r>
              <w:rPr>
                <w:rFonts w:ascii="宋体" w:eastAsia="宋体" w:hAnsi="宋体"/>
                <w:sz w:val="21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14:paraId="69704FE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11C0881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指导下游企业回收、拆解及再利用，建立产品及包装物回收拆解文件，并传递给下游相关方；</w:t>
            </w:r>
          </w:p>
          <w:p w14:paraId="1A0464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通过培训和现场辅导等方式提高零部件、原材料以及产品的回收率；</w:t>
            </w:r>
          </w:p>
          <w:p w14:paraId="0B319A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14:paraId="0C22E8F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28AAF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512699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08F3C28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14:paraId="25C454B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C6977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9F6C4D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B2F66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无害化处理Ｘ６０３ </w:t>
            </w:r>
          </w:p>
        </w:tc>
        <w:tc>
          <w:tcPr>
            <w:tcW w:w="808" w:type="dxa"/>
            <w:vAlign w:val="center"/>
          </w:tcPr>
          <w:p w14:paraId="3D90BE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26370F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14:paraId="66A7CF9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41954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E40A3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191B44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14:paraId="3A3A9EE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4C04F76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16D677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A176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</w:t>
            </w:r>
            <w:r>
              <w:rPr>
                <w:rFonts w:ascii="宋体" w:eastAsia="宋体" w:hAnsi="宋体"/>
                <w:sz w:val="21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14:paraId="4CD4599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E96B2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定期统计产品／包装物回收利用指标，如： </w:t>
            </w:r>
          </w:p>
          <w:p w14:paraId="2DCFEB5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●产品可回收利用率； </w:t>
            </w:r>
          </w:p>
          <w:p w14:paraId="429B7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●实际回收利用率； </w:t>
            </w:r>
          </w:p>
          <w:p w14:paraId="65C08B1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●循环利用材料的使用率； </w:t>
            </w:r>
          </w:p>
          <w:p w14:paraId="7B65EA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●材料利用率； </w:t>
            </w:r>
          </w:p>
          <w:p w14:paraId="299E4D7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●废品率等</w:t>
            </w:r>
          </w:p>
        </w:tc>
        <w:tc>
          <w:tcPr>
            <w:tcW w:w="3238" w:type="dxa"/>
          </w:tcPr>
          <w:p w14:paraId="714745C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5B8452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29EA6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3027C8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14:paraId="45C8E65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CACCE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F5C8B7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75E758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14:paraId="41A75F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78E905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14:paraId="55F5CA0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725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D38157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14B3CF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14:paraId="3D083E93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ACC0637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133F52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14:paraId="6DD6D8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693525AC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45D9CE9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14:paraId="5CC566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3887" w:type="dxa"/>
          </w:tcPr>
          <w:p w14:paraId="314791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对企业及供应商绿色信息进行规范管理，信息可查询、可追溯，并在供应链系统有效传递；建立绿色供应链管理信息平台（可与企业信息化系统融合），功能包括： </w:t>
            </w:r>
          </w:p>
          <w:p w14:paraId="00FD4C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基础信息管理； </w:t>
            </w:r>
          </w:p>
          <w:p w14:paraId="662B6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绿色设计系统； </w:t>
            </w:r>
          </w:p>
          <w:p w14:paraId="7A1ACAD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●绿色物料管控； </w:t>
            </w:r>
          </w:p>
          <w:p w14:paraId="7D0CBB8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●绿色供应商管理； </w:t>
            </w:r>
          </w:p>
          <w:p w14:paraId="49430B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●绿色生产信息管理； </w:t>
            </w:r>
          </w:p>
          <w:p w14:paraId="676B14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●绿色物流和末端处置； </w:t>
            </w:r>
          </w:p>
          <w:p w14:paraId="22F32E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●绿色信息披露等</w:t>
            </w:r>
          </w:p>
        </w:tc>
        <w:tc>
          <w:tcPr>
            <w:tcW w:w="3238" w:type="dxa"/>
          </w:tcPr>
          <w:p w14:paraId="2CF96E3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AA42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63DE1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5DE7F98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14:paraId="6D88866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14:paraId="2F81C4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E46C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ECC4B52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0B0398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14:paraId="6D842E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3887" w:type="dxa"/>
          </w:tcPr>
          <w:p w14:paraId="7657B71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披露企业绿色供应链相关信息，如： </w:t>
            </w:r>
          </w:p>
          <w:p w14:paraId="36F4621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●绿色发展战略、目标及企业合规性声明； </w:t>
            </w:r>
          </w:p>
          <w:p w14:paraId="6EC39B5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●政府及相关管理部门的要求定期披露企业的环境排放、能源等数据； </w:t>
            </w:r>
          </w:p>
          <w:p w14:paraId="255E9C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●产品绿色属性及有害物质使用情况； </w:t>
            </w:r>
          </w:p>
          <w:p w14:paraId="652BFB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●产品拆解、回收处理及循环利用信息； </w:t>
            </w:r>
          </w:p>
          <w:p w14:paraId="525E6C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●绿色供应商信息等</w:t>
            </w:r>
          </w:p>
        </w:tc>
        <w:tc>
          <w:tcPr>
            <w:tcW w:w="3238" w:type="dxa"/>
          </w:tcPr>
          <w:p w14:paraId="6C6F61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4BFC0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B9D1978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  <w:t>评审依据为：RB/T 089-2022 《绿色供应链管理体系 要求及使用指南》和GB/T 39257-2020 《绿色制造 制造企业绿色供应链管理 评价规范》。</w:t>
      </w:r>
    </w:p>
    <w:p w14:paraId="7AC058B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计算公式：</w:t>
      </w:r>
    </w:p>
    <w:p w14:paraId="6F1DD008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∑R=ω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/>
          <w:sz w:val="21"/>
          <w:szCs w:val="21"/>
        </w:rPr>
        <w:t>…………………</w:t>
      </w:r>
      <w:r>
        <w:rPr>
          <w:rFonts w:ascii="宋体" w:eastAsia="宋体" w:hAnsi="宋体" w:hint="eastAsia"/>
          <w:sz w:val="21"/>
          <w:szCs w:val="21"/>
        </w:rPr>
        <w:t>(1)</w:t>
      </w:r>
    </w:p>
    <w:p w14:paraId="688DF4D9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式中</w:t>
      </w:r>
    </w:p>
    <w:p w14:paraId="2152AA8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      ——绿色供应链评价实际综合分值</w:t>
      </w:r>
    </w:p>
    <w:p w14:paraId="3E2E5E5D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ω1、ω2、ω3、ω4——分别对应一级指标的权重</w:t>
      </w:r>
    </w:p>
    <w:p w14:paraId="207D326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R1、R2、R3、R4——分别为所评价二级指标的得分</w:t>
      </w:r>
    </w:p>
    <w:p w14:paraId="2DFC19F4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</w:t>
      </w:r>
    </w:p>
    <w:p w14:paraId="5D87BEEE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评级结论：</w:t>
      </w:r>
    </w:p>
    <w:p w14:paraId="2A1C8A31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□不合格</w:t>
      </w:r>
    </w:p>
    <w:p w14:paraId="205DB9D4">
      <w:pPr>
        <w:rPr>
          <w:rFonts w:ascii="宋体" w:eastAsia="宋体" w:hAnsi="宋体" w:hint="eastAsia"/>
          <w:sz w:val="21"/>
          <w:szCs w:val="21"/>
          <w:lang w:eastAsia="zh-CN"/>
        </w:rPr>
      </w:pPr>
      <w:r>
        <w:rPr>
          <w:rFonts w:ascii="宋体" w:eastAsia="宋体" w:hAnsi="宋体" w:hint="eastAsia"/>
          <w:sz w:val="21"/>
          <w:szCs w:val="21"/>
        </w:rPr>
        <w:t>□合格，级别为</w:t>
      </w:r>
      <w:r>
        <w:rPr>
          <w:rFonts w:ascii="宋体" w:eastAsia="宋体" w:hAnsi="宋体" w:hint="eastAsia"/>
          <w:sz w:val="21"/>
          <w:szCs w:val="21"/>
          <w:u w:val="single"/>
        </w:rPr>
        <w:t>：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21"/>
          <w:szCs w:val="21"/>
          <w:u w:val="single"/>
          <w:lang w:val="en-US" w:eastAsia="zh-CN"/>
        </w:rPr>
        <w:t>星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>级，</w:t>
      </w:r>
      <w:r>
        <w:rPr>
          <w:rFonts w:ascii="宋体" w:eastAsia="宋体" w:hAnsi="宋体" w:hint="eastAsia"/>
          <w:sz w:val="21"/>
          <w:szCs w:val="21"/>
        </w:rPr>
        <w:t>可以颁发对应级别的绿色供应链认证证书</w:t>
      </w:r>
      <w:r>
        <w:rPr>
          <w:rFonts w:ascii="宋体" w:eastAsia="宋体" w:hAnsi="宋体" w:hint="eastAsia"/>
          <w:sz w:val="21"/>
          <w:szCs w:val="21"/>
          <w:lang w:eastAsia="zh-CN"/>
        </w:rPr>
        <w:t>。</w:t>
      </w:r>
    </w:p>
    <w:p w14:paraId="491B515F">
      <w:pPr>
        <w:rPr>
          <w:rFonts w:ascii="宋体" w:eastAsia="宋体" w:hAnsi="宋体" w:hint="eastAsia"/>
          <w:sz w:val="21"/>
          <w:szCs w:val="21"/>
        </w:rPr>
      </w:pPr>
    </w:p>
    <w:p w14:paraId="5A3D0D2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4"/>
        <w:gridCol w:w="5954"/>
      </w:tblGrid>
      <w:tr w14:paraId="77244D1D">
        <w:tblPrEx>
          <w:tblW w:w="10631" w:type="dxa"/>
          <w:tblInd w:w="9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1F1CDF5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评级结论</w:t>
            </w:r>
          </w:p>
        </w:tc>
        <w:tc>
          <w:tcPr>
            <w:tcW w:w="2414" w:type="dxa"/>
          </w:tcPr>
          <w:p w14:paraId="3B2E785E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分级</w:t>
            </w:r>
          </w:p>
        </w:tc>
        <w:tc>
          <w:tcPr>
            <w:tcW w:w="5954" w:type="dxa"/>
          </w:tcPr>
          <w:p w14:paraId="1194C68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条件</w:t>
            </w:r>
          </w:p>
        </w:tc>
      </w:tr>
      <w:tr w14:paraId="2A0D8129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3331A4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14:paraId="67ADE0A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五星）</w:t>
            </w:r>
          </w:p>
        </w:tc>
        <w:tc>
          <w:tcPr>
            <w:tcW w:w="5954" w:type="dxa"/>
          </w:tcPr>
          <w:p w14:paraId="3219C08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必选项符合，且∑R≥90</w:t>
            </w:r>
          </w:p>
        </w:tc>
      </w:tr>
      <w:tr w14:paraId="369F30C7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C3FA17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29DEE56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四星）</w:t>
            </w:r>
          </w:p>
        </w:tc>
        <w:tc>
          <w:tcPr>
            <w:tcW w:w="5954" w:type="dxa"/>
          </w:tcPr>
          <w:p w14:paraId="5772A7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必选项符合，且80≤∑R＜90</w:t>
            </w:r>
          </w:p>
        </w:tc>
      </w:tr>
      <w:tr w14:paraId="7A9DCC0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AD6064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1DF26D4E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三星）</w:t>
            </w:r>
          </w:p>
        </w:tc>
        <w:tc>
          <w:tcPr>
            <w:tcW w:w="5954" w:type="dxa"/>
          </w:tcPr>
          <w:p w14:paraId="0BD9A23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必选项符合，且70≤∑R＜80</w:t>
            </w:r>
          </w:p>
        </w:tc>
      </w:tr>
      <w:tr w14:paraId="2BD8D2FB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3CAB7F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0AE31F7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二星）</w:t>
            </w:r>
          </w:p>
        </w:tc>
        <w:tc>
          <w:tcPr>
            <w:tcW w:w="5954" w:type="dxa"/>
          </w:tcPr>
          <w:p w14:paraId="33343A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必选项符合，且60≤∑R＜70</w:t>
            </w:r>
          </w:p>
        </w:tc>
      </w:tr>
      <w:tr w14:paraId="10BF49E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77B59FA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14:paraId="1BA69DC0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五级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一星）</w:t>
            </w:r>
          </w:p>
        </w:tc>
        <w:tc>
          <w:tcPr>
            <w:tcW w:w="5954" w:type="dxa"/>
          </w:tcPr>
          <w:p w14:paraId="60A52C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必选项指标缺失或不符合要求；</w:t>
            </w:r>
          </w:p>
          <w:p w14:paraId="690F10B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或必选项符合，但∑R＜60</w:t>
            </w:r>
          </w:p>
        </w:tc>
      </w:tr>
    </w:tbl>
    <w:p w14:paraId="04E5FCA6">
      <w:pPr>
        <w:spacing w:line="360" w:lineRule="auto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注：1、如果企业不需要星、级，可以不进行打分，仅按管理体系审核记录填写。</w:t>
      </w:r>
    </w:p>
    <w:p w14:paraId="3CCB09A4">
      <w:pPr>
        <w:spacing w:line="360" w:lineRule="auto"/>
        <w:ind w:firstLine="210" w:firstLineChars="100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2、如果需要星、级。则星、级可根据企业的需要可单独给一级或者五星，也可是它们的组合。推荐是给五星。请与企业确认后填写认证信息确认表。</w:t>
      </w:r>
    </w:p>
    <w:p w14:paraId="73C07F3A">
      <w:pPr>
        <w:jc w:val="righ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</w:t>
      </w:r>
    </w:p>
    <w:sectPr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38" w:h="11906" w:orient="landscape"/>
      <w:pgMar w:top="1134" w:right="1135" w:bottom="993" w:left="1440" w:header="568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2B3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8C7EFC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71E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980822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762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14:paraId="1BA7260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>
      <w:rPr>
        <w:rFonts w:ascii="宋体" w:eastAsia="宋体" w:hAnsi="宋体"/>
        <w:szCs w:val="21"/>
      </w:rPr>
      <w:t xml:space="preserve"> </w:t>
    </w:r>
    <w:r>
      <w:rPr>
        <w:rFonts w:ascii="宋体" w:eastAsia="宋体" w:hAnsi="宋体" w:hint="eastAsia"/>
        <w:szCs w:val="21"/>
      </w:rPr>
      <w:t xml:space="preserve">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  <w:lang w:val="en-US" w:eastAsia="zh-CN"/>
      </w:rPr>
      <w:t>8</w:t>
    </w:r>
    <w:r>
      <w:rPr>
        <w:rFonts w:ascii="宋体" w:eastAsia="宋体" w:hAnsi="宋体" w:hint="eastAsia"/>
        <w:szCs w:val="21"/>
      </w:rPr>
      <w:t xml:space="preserve"> </w:t>
    </w:r>
    <w:r>
      <w:rPr>
        <w:rFonts w:ascii="宋体" w:eastAsia="宋体" w:hAnsi="宋体" w:hint="eastAsia"/>
        <w:szCs w:val="21"/>
        <w:lang w:val="en-US" w:eastAsia="zh-CN"/>
      </w:rPr>
      <w:t>B</w:t>
    </w:r>
    <w:r>
      <w:rPr>
        <w:rFonts w:ascii="宋体" w:eastAsia="宋体" w:hAnsi="宋体" w:hint="eastAsia"/>
        <w:szCs w:val="21"/>
      </w:rPr>
      <w:t>/0</w:t>
    </w:r>
  </w:p>
  <w:p w14:paraId="5CFD1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E3B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31E4B"/>
    <w:rsid w:val="008601E2"/>
    <w:rsid w:val="00883DBE"/>
    <w:rsid w:val="00885A67"/>
    <w:rsid w:val="008C7E2E"/>
    <w:rsid w:val="009D7BA4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F80788"/>
    <w:rsid w:val="00F91C7A"/>
    <w:rsid w:val="66DB4F71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1135</Words>
  <Characters>1199</Characters>
  <Application>Microsoft Office Word</Application>
  <DocSecurity>0</DocSecurity>
  <Lines>29</Lines>
  <Paragraphs>8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3</cp:revision>
  <dcterms:created xsi:type="dcterms:W3CDTF">2024-09-11T08:34:00Z</dcterms:created>
  <dcterms:modified xsi:type="dcterms:W3CDTF">2025-09-14T01:15:12Z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