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重庆拱智商贸有限公司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重庆市江津区德感街道八斗路10号附18号(坤煌实业产业综合体41幢）（自主承诺）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重庆市江津区德感街道八斗路10号附18号(坤煌实业产业综合体41幢）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王世荣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13983449258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王世荣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0011-2022-QEO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Q：包装箱（木质、金属）的加工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E：包装箱（木质、金属）的加工所涉及场所的相关环境管理活动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O：包装箱（木质、金属）的加工所涉及场所的相关职业健康安全管理活动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Q：06.02.04;17.12.01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E：06.02.04;17.12.01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O：06.02.04;17.12.01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2022年01月23日 上午至2022年01月23日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吴成德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全茂合渝科技有限公司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Q:06.02.04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E:06.02.04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O:06.02.04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18983741516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吴成德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全茂合渝科技有限公司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Q:06.02.04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E:06.02.04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O:06.02.04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18983741516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9525</wp:posOffset>
                  </wp:positionV>
                  <wp:extent cx="469900" cy="395605"/>
                  <wp:effectExtent l="0" t="0" r="2540" b="635"/>
                  <wp:wrapNone/>
                  <wp:docPr id="26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69"/>
        <w:gridCol w:w="873"/>
        <w:gridCol w:w="6192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7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6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92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C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  <w:p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认证证书及标识使用情况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C、B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行政部（含财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务）</w:t>
            </w:r>
          </w:p>
        </w:tc>
        <w:tc>
          <w:tcPr>
            <w:tcW w:w="6192" w:type="dxa"/>
          </w:tcPr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5.3岗位/职责/权限；6.2质量目标及其实现的策划；7.2能力；7.3意识；7.5文件化信息；9.2内部审核；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/>
                <w:sz w:val="18"/>
                <w:szCs w:val="18"/>
              </w:rPr>
              <w:t>不合格和纠正措施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EMS运行控制相关财务支出证据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OHSMS运行控制财务支出证据。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A、D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599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午休时间：12：00-13：00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6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生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192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 7.1.4过程运行环境；7.1.5监视和测量设备；8.1运行策划和控制；8.3设计开发控制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上次不符合项验证）</w:t>
            </w:r>
            <w:bookmarkStart w:id="32" w:name="_GoBack"/>
            <w:bookmarkEnd w:id="32"/>
            <w:r>
              <w:rPr>
                <w:rFonts w:hint="eastAsia" w:ascii="宋体" w:hAnsi="宋体" w:cs="新宋体"/>
                <w:sz w:val="18"/>
                <w:szCs w:val="18"/>
              </w:rPr>
              <w:t>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A、D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73" w:type="dxa"/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192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C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B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C、B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7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F5405"/>
    <w:rsid w:val="31F30D62"/>
    <w:rsid w:val="37497D22"/>
    <w:rsid w:val="3CC73FE1"/>
    <w:rsid w:val="795C4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2022-01-23T01:23:16Z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