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中钞特种防伪科技有限公司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5953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