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4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947"/>
        <w:gridCol w:w="9875"/>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132"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47" w:type="dxa"/>
            <w:vMerge w:val="restart"/>
            <w:vAlign w:val="center"/>
          </w:tcPr>
          <w:p>
            <w:pPr>
              <w:rPr>
                <w:sz w:val="24"/>
                <w:szCs w:val="24"/>
              </w:rPr>
            </w:pPr>
            <w:r>
              <w:rPr>
                <w:rFonts w:hint="eastAsia"/>
                <w:sz w:val="24"/>
                <w:szCs w:val="24"/>
              </w:rPr>
              <w:t>涉及</w:t>
            </w:r>
          </w:p>
          <w:p>
            <w:r>
              <w:rPr>
                <w:rFonts w:hint="eastAsia"/>
                <w:sz w:val="24"/>
                <w:szCs w:val="24"/>
              </w:rPr>
              <w:t>条款</w:t>
            </w:r>
          </w:p>
        </w:tc>
        <w:tc>
          <w:tcPr>
            <w:tcW w:w="9875"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 xml:space="preserve">综合部           </w:t>
            </w:r>
            <w:r>
              <w:rPr>
                <w:rFonts w:hint="eastAsia"/>
                <w:sz w:val="24"/>
                <w:szCs w:val="24"/>
              </w:rPr>
              <w:t>主管领导</w:t>
            </w:r>
            <w:r>
              <w:rPr>
                <w:rFonts w:hint="eastAsia"/>
                <w:sz w:val="24"/>
                <w:szCs w:val="24"/>
                <w:lang w:eastAsia="zh-CN"/>
              </w:rPr>
              <w:t>：</w:t>
            </w:r>
            <w:bookmarkStart w:id="0" w:name="管理者代表"/>
            <w:r>
              <w:rPr>
                <w:rFonts w:hint="eastAsia"/>
                <w:sz w:val="24"/>
                <w:szCs w:val="24"/>
                <w:lang w:val="en-US" w:eastAsia="zh-CN"/>
              </w:rPr>
              <w:t xml:space="preserve">刘申光         </w:t>
            </w:r>
            <w:bookmarkEnd w:id="0"/>
            <w:r>
              <w:rPr>
                <w:rFonts w:hint="eastAsia"/>
                <w:sz w:val="24"/>
                <w:szCs w:val="24"/>
              </w:rPr>
              <w:t>陪同人员：</w:t>
            </w:r>
            <w:r>
              <w:rPr>
                <w:rFonts w:hint="eastAsia"/>
                <w:sz w:val="24"/>
                <w:szCs w:val="24"/>
                <w:lang w:val="en-US" w:eastAsia="zh-CN"/>
              </w:rPr>
              <w:t>相鹏飞</w:t>
            </w:r>
          </w:p>
        </w:tc>
        <w:tc>
          <w:tcPr>
            <w:tcW w:w="156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132" w:type="dxa"/>
            <w:vMerge w:val="continue"/>
            <w:vAlign w:val="center"/>
          </w:tcPr>
          <w:p/>
        </w:tc>
        <w:tc>
          <w:tcPr>
            <w:tcW w:w="947" w:type="dxa"/>
            <w:vMerge w:val="continue"/>
            <w:vAlign w:val="center"/>
          </w:tcPr>
          <w:p/>
        </w:tc>
        <w:tc>
          <w:tcPr>
            <w:tcW w:w="9875" w:type="dxa"/>
            <w:vAlign w:val="center"/>
          </w:tcPr>
          <w:p>
            <w:pPr>
              <w:spacing w:before="120"/>
            </w:pPr>
            <w:r>
              <w:rPr>
                <w:rFonts w:hint="eastAsia"/>
                <w:sz w:val="24"/>
                <w:szCs w:val="24"/>
              </w:rPr>
              <w:t>审核员：</w:t>
            </w:r>
            <w:bookmarkStart w:id="1" w:name="审核组成员不含组长"/>
            <w:r>
              <w:rPr>
                <w:rFonts w:hint="eastAsia"/>
                <w:sz w:val="24"/>
                <w:szCs w:val="24"/>
                <w:lang w:val="en-US" w:eastAsia="zh-CN"/>
              </w:rPr>
              <w:t>汪桂丽、</w:t>
            </w:r>
            <w:bookmarkEnd w:id="1"/>
            <w:r>
              <w:rPr>
                <w:rFonts w:hint="eastAsia"/>
                <w:sz w:val="24"/>
                <w:szCs w:val="24"/>
                <w:lang w:eastAsia="zh-CN"/>
              </w:rPr>
              <w:t>杨尧耀</w:t>
            </w:r>
            <w:r>
              <w:rPr>
                <w:rFonts w:hint="eastAsia"/>
                <w:sz w:val="24"/>
                <w:szCs w:val="24"/>
                <w:lang w:val="en-US" w:eastAsia="zh-CN"/>
              </w:rPr>
              <w:t xml:space="preserve">                </w:t>
            </w:r>
            <w:r>
              <w:rPr>
                <w:rFonts w:hint="eastAsia"/>
                <w:sz w:val="24"/>
                <w:szCs w:val="24"/>
              </w:rPr>
              <w:t>审核时间：</w:t>
            </w:r>
            <w:bookmarkStart w:id="2" w:name="审核日期"/>
            <w:r>
              <w:t>202</w:t>
            </w:r>
            <w:r>
              <w:rPr>
                <w:rFonts w:hint="eastAsia"/>
                <w:lang w:val="en-US" w:eastAsia="zh-CN"/>
              </w:rPr>
              <w:t>2</w:t>
            </w:r>
            <w:r>
              <w:t>年</w:t>
            </w:r>
            <w:r>
              <w:rPr>
                <w:rFonts w:hint="eastAsia"/>
                <w:lang w:val="en-US" w:eastAsia="zh-CN"/>
              </w:rPr>
              <w:t>3</w:t>
            </w:r>
            <w:r>
              <w:t>月</w:t>
            </w:r>
            <w:r>
              <w:rPr>
                <w:rFonts w:hint="eastAsia"/>
                <w:lang w:val="en-US" w:eastAsia="zh-CN"/>
              </w:rPr>
              <w:t>1</w:t>
            </w:r>
            <w:r>
              <w:t xml:space="preserve">日 </w:t>
            </w:r>
            <w:r>
              <w:rPr>
                <w:rFonts w:hint="eastAsia"/>
                <w:lang w:val="en-US" w:eastAsia="zh-CN"/>
              </w:rPr>
              <w:t>上</w:t>
            </w:r>
            <w:r>
              <w:t>午</w:t>
            </w:r>
            <w:bookmarkEnd w:id="2"/>
          </w:p>
        </w:tc>
        <w:tc>
          <w:tcPr>
            <w:tcW w:w="156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2132" w:type="dxa"/>
            <w:vMerge w:val="continue"/>
            <w:vAlign w:val="center"/>
          </w:tcPr>
          <w:p/>
        </w:tc>
        <w:tc>
          <w:tcPr>
            <w:tcW w:w="947" w:type="dxa"/>
            <w:vMerge w:val="continue"/>
            <w:vAlign w:val="center"/>
          </w:tcPr>
          <w:p/>
        </w:tc>
        <w:tc>
          <w:tcPr>
            <w:tcW w:w="9875" w:type="dxa"/>
            <w:vAlign w:val="center"/>
          </w:tcPr>
          <w:p>
            <w:pPr>
              <w:rPr>
                <w:sz w:val="24"/>
                <w:szCs w:val="24"/>
              </w:rPr>
            </w:pPr>
            <w:r>
              <w:rPr>
                <w:rFonts w:hint="eastAsia"/>
                <w:sz w:val="24"/>
                <w:szCs w:val="24"/>
              </w:rPr>
              <w:t>审核条款：</w:t>
            </w:r>
            <w:r>
              <w:rPr>
                <w:rFonts w:hint="eastAsia" w:ascii="宋体" w:hAnsi="宋体" w:cs="Arial"/>
                <w:b w:val="0"/>
                <w:bCs/>
                <w:sz w:val="21"/>
                <w:szCs w:val="21"/>
                <w:u w:val="none"/>
              </w:rPr>
              <w:t>5.3组织的岗位、职责和权限、6.2质量目标、7.1.2人员、7.1.6组织知识、7.2能力、7.3意识、</w:t>
            </w:r>
            <w:r>
              <w:rPr>
                <w:rFonts w:hint="eastAsia" w:ascii="宋体" w:hAnsi="宋体" w:cs="Arial"/>
                <w:sz w:val="21"/>
                <w:szCs w:val="21"/>
              </w:rPr>
              <w:t>7.5.1成文信息总则、7.5.2成文信息创建和更新、7.5.3成文信息的控制</w:t>
            </w:r>
            <w:r>
              <w:rPr>
                <w:rFonts w:hint="eastAsia" w:ascii="宋体" w:hAnsi="宋体" w:cs="Arial"/>
                <w:sz w:val="21"/>
                <w:szCs w:val="21"/>
                <w:lang w:eastAsia="zh-CN"/>
              </w:rPr>
              <w:t>、</w:t>
            </w:r>
            <w:r>
              <w:rPr>
                <w:rFonts w:hint="eastAsia" w:ascii="宋体" w:hAnsi="宋体" w:cs="Arial"/>
                <w:sz w:val="21"/>
                <w:szCs w:val="21"/>
              </w:rPr>
              <w:t>8.4外部提供过程、产品和服务的控制、</w:t>
            </w:r>
            <w:r>
              <w:rPr>
                <w:rFonts w:hint="eastAsia" w:ascii="宋体" w:hAnsi="宋体" w:cs="Arial"/>
                <w:b w:val="0"/>
                <w:bCs/>
                <w:spacing w:val="-6"/>
                <w:sz w:val="21"/>
                <w:szCs w:val="21"/>
                <w:u w:val="none"/>
              </w:rPr>
              <w:t>9.1.1监视、测量、分析和评价总则</w:t>
            </w:r>
            <w:r>
              <w:rPr>
                <w:rFonts w:hint="eastAsia" w:ascii="宋体" w:hAnsi="宋体" w:cs="Arial"/>
                <w:b w:val="0"/>
                <w:bCs/>
                <w:sz w:val="21"/>
                <w:szCs w:val="21"/>
                <w:u w:val="none"/>
              </w:rPr>
              <w:t>、9.1.3分析与评价、9.2 内部审核</w:t>
            </w:r>
          </w:p>
        </w:tc>
        <w:tc>
          <w:tcPr>
            <w:tcW w:w="156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5" w:hRule="atLeast"/>
        </w:trPr>
        <w:tc>
          <w:tcPr>
            <w:tcW w:w="2132" w:type="dxa"/>
            <w:vAlign w:val="top"/>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组织的岗位职责和权限</w:t>
            </w:r>
          </w:p>
        </w:tc>
        <w:tc>
          <w:tcPr>
            <w:tcW w:w="947" w:type="dxa"/>
            <w:vAlign w:val="top"/>
          </w:tcPr>
          <w:p>
            <w:pPr>
              <w:spacing w:line="280" w:lineRule="exact"/>
              <w:ind w:firstLine="420" w:firstLineChars="200"/>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Q</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5.3</w:t>
            </w:r>
          </w:p>
          <w:p>
            <w:pPr>
              <w:spacing w:line="280" w:lineRule="exact"/>
              <w:ind w:firstLine="420" w:firstLineChars="200"/>
              <w:jc w:val="left"/>
              <w:rPr>
                <w:rFonts w:cs="宋体" w:asciiTheme="minorEastAsia" w:hAnsiTheme="minorEastAsia" w:eastAsiaTheme="minorEastAsia"/>
                <w:kern w:val="2"/>
                <w:sz w:val="21"/>
                <w:szCs w:val="21"/>
                <w:lang w:val="en-US" w:eastAsia="zh-CN" w:bidi="ar-SA"/>
              </w:rPr>
            </w:pPr>
          </w:p>
        </w:tc>
        <w:tc>
          <w:tcPr>
            <w:tcW w:w="9875" w:type="dxa"/>
            <w:vAlign w:val="center"/>
          </w:tcPr>
          <w:p>
            <w:pPr>
              <w:ind w:firstLine="420" w:firstLineChars="200"/>
              <w:rPr>
                <w:rFonts w:hint="default" w:ascii="宋体" w:hAnsi="宋体" w:cs="Arial"/>
                <w:sz w:val="21"/>
                <w:szCs w:val="21"/>
                <w:lang w:val="en-US" w:eastAsia="zh-CN"/>
              </w:rPr>
            </w:pPr>
            <w:r>
              <w:rPr>
                <w:rFonts w:hint="eastAsia" w:ascii="宋体" w:hAnsi="宋体" w:cs="Arial"/>
                <w:sz w:val="21"/>
                <w:szCs w:val="21"/>
                <w:lang w:val="en-US" w:eastAsia="zh-CN"/>
              </w:rPr>
              <w:t>部门主要</w:t>
            </w:r>
            <w:r>
              <w:rPr>
                <w:rFonts w:hint="eastAsia" w:ascii="宋体" w:hAnsi="宋体" w:cs="Arial"/>
                <w:sz w:val="21"/>
                <w:szCs w:val="21"/>
              </w:rPr>
              <w:t>负责文件、资料和质量记录的控制与管理；负责组织编制质量手册、程序文件、管理规定等，组织对现有体系文件的定期评审；负责内部质量管理体系年度审核计划的制定；负责培训计划的制定、对员工进行能力和意识的培训；</w:t>
            </w:r>
            <w:r>
              <w:rPr>
                <w:rFonts w:hint="eastAsia" w:ascii="宋体" w:hAnsi="宋体" w:cs="Arial"/>
                <w:sz w:val="21"/>
                <w:szCs w:val="21"/>
                <w:lang w:val="en-US" w:eastAsia="zh-CN"/>
              </w:rPr>
              <w:t>负责按公司的要求组织对供方进行评价，并对供方的供货绩效定期进行评价，建立供方档案；负责制定采购计划，负责产品采购工作以及进厂不合格品的处置工作；负责与供方签订合同的存档管理工；负责监视、测量、分析和评价等</w:t>
            </w:r>
          </w:p>
          <w:p>
            <w:pPr>
              <w:spacing w:line="280" w:lineRule="exact"/>
              <w:ind w:firstLine="420" w:firstLineChars="200"/>
              <w:rPr>
                <w:rFonts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lang w:val="en-US" w:eastAsia="zh-CN"/>
              </w:rPr>
              <w:t>与负责人交流明确职责和权限。</w:t>
            </w:r>
          </w:p>
        </w:tc>
        <w:tc>
          <w:tcPr>
            <w:tcW w:w="1564" w:type="dxa"/>
            <w:vAlign w:val="top"/>
          </w:tcPr>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OK</w:t>
            </w:r>
          </w:p>
          <w:p>
            <w:pPr>
              <w:spacing w:line="360" w:lineRule="auto"/>
              <w:rPr>
                <w:rFonts w:cs="Times New Roman" w:asciiTheme="majorEastAsia" w:hAnsiTheme="majorEastAsia" w:eastAsiaTheme="majorEastAsia"/>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5" w:hRule="atLeast"/>
        </w:trPr>
        <w:tc>
          <w:tcPr>
            <w:tcW w:w="2132" w:type="dxa"/>
            <w:vAlign w:val="center"/>
          </w:tcPr>
          <w:p>
            <w:pPr>
              <w:spacing w:line="280" w:lineRule="exact"/>
              <w:jc w:val="left"/>
              <w:rPr>
                <w:rFonts w:cs="Arial" w:asciiTheme="minorEastAsia" w:hAnsiTheme="minorEastAsia" w:eastAsiaTheme="minorEastAsia"/>
                <w:kern w:val="2"/>
                <w:sz w:val="24"/>
                <w:szCs w:val="24"/>
                <w:lang w:val="en-US" w:eastAsia="zh-CN" w:bidi="ar-SA"/>
              </w:rPr>
            </w:pPr>
            <w:r>
              <w:rPr>
                <w:rFonts w:hint="eastAsia" w:cs="宋体" w:asciiTheme="minorEastAsia" w:hAnsiTheme="minorEastAsia" w:eastAsiaTheme="minorEastAsia"/>
                <w:szCs w:val="21"/>
              </w:rPr>
              <w:t>目标及其实现策划</w:t>
            </w:r>
          </w:p>
        </w:tc>
        <w:tc>
          <w:tcPr>
            <w:tcW w:w="947" w:type="dxa"/>
            <w:vAlign w:val="center"/>
          </w:tcPr>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Q</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6.2</w:t>
            </w: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6.2.1</w:t>
            </w:r>
          </w:p>
          <w:p>
            <w:pPr>
              <w:spacing w:line="280" w:lineRule="exact"/>
              <w:jc w:val="left"/>
              <w:rPr>
                <w:rFonts w:cs="Arial" w:asciiTheme="minorEastAsia" w:hAnsiTheme="minorEastAsia" w:eastAsiaTheme="minorEastAsia"/>
                <w:kern w:val="2"/>
                <w:sz w:val="24"/>
                <w:szCs w:val="24"/>
                <w:lang w:val="en-US" w:eastAsia="zh-CN" w:bidi="ar-SA"/>
              </w:rPr>
            </w:pPr>
            <w:r>
              <w:rPr>
                <w:rFonts w:hint="eastAsia" w:cs="宋体" w:asciiTheme="minorEastAsia" w:hAnsiTheme="minorEastAsia" w:eastAsiaTheme="minorEastAsia"/>
                <w:szCs w:val="21"/>
              </w:rPr>
              <w:t>6.2.2</w:t>
            </w:r>
          </w:p>
        </w:tc>
        <w:tc>
          <w:tcPr>
            <w:tcW w:w="9875" w:type="dxa"/>
            <w:vAlign w:val="center"/>
          </w:tcPr>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提供</w:t>
            </w:r>
            <w:r>
              <w:rPr>
                <w:rFonts w:hint="eastAsia" w:cs="宋体" w:asciiTheme="minorEastAsia" w:hAnsiTheme="minorEastAsia" w:eastAsiaTheme="minorEastAsia"/>
                <w:szCs w:val="21"/>
                <w:lang w:val="en-US" w:eastAsia="zh-CN"/>
              </w:rPr>
              <w:t>本部门</w:t>
            </w:r>
            <w:r>
              <w:rPr>
                <w:rFonts w:hint="eastAsia" w:cs="宋体" w:asciiTheme="minorEastAsia" w:hAnsiTheme="minorEastAsia" w:eastAsiaTheme="minorEastAsia"/>
                <w:szCs w:val="21"/>
              </w:rPr>
              <w:t>质量目标分解</w:t>
            </w:r>
            <w:r>
              <w:rPr>
                <w:rFonts w:hint="eastAsia" w:cs="宋体" w:asciiTheme="minorEastAsia" w:hAnsiTheme="minorEastAsia" w:eastAsiaTheme="minorEastAsia"/>
                <w:szCs w:val="21"/>
                <w:lang w:val="en-US" w:eastAsia="zh-CN"/>
              </w:rPr>
              <w:t>5项</w:t>
            </w:r>
            <w:r>
              <w:rPr>
                <w:rFonts w:hint="eastAsia" w:cs="宋体" w:asciiTheme="minorEastAsia" w:hAnsiTheme="minorEastAsia" w:eastAsiaTheme="minorEastAsia"/>
                <w:szCs w:val="21"/>
              </w:rPr>
              <w:t>，明确考核方法、</w:t>
            </w:r>
            <w:r>
              <w:rPr>
                <w:rFonts w:hint="eastAsia" w:cs="宋体" w:asciiTheme="minorEastAsia" w:hAnsiTheme="minorEastAsia" w:eastAsiaTheme="minorEastAsia"/>
                <w:szCs w:val="21"/>
                <w:lang w:val="en-US" w:eastAsia="zh-CN"/>
              </w:rPr>
              <w:t>周期按季度进行</w:t>
            </w:r>
            <w:r>
              <w:rPr>
                <w:rFonts w:hint="eastAsia" w:cs="宋体" w:asciiTheme="minorEastAsia" w:hAnsiTheme="minorEastAsia" w:eastAsiaTheme="minorEastAsia"/>
                <w:szCs w:val="21"/>
              </w:rPr>
              <w:t>和考核人；有2021年</w:t>
            </w:r>
            <w:r>
              <w:rPr>
                <w:rFonts w:hint="eastAsia" w:cs="宋体" w:asciiTheme="minorEastAsia" w:hAnsiTheme="minorEastAsia" w:eastAsiaTheme="minorEastAsia"/>
                <w:szCs w:val="21"/>
                <w:lang w:val="en-US" w:eastAsia="zh-CN"/>
              </w:rPr>
              <w:t>第三季度、第四季度、2022年第一季度质量分解目标完成</w:t>
            </w:r>
            <w:r>
              <w:rPr>
                <w:rFonts w:hint="eastAsia" w:cs="宋体" w:asciiTheme="minorEastAsia" w:hAnsiTheme="minorEastAsia" w:eastAsiaTheme="minorEastAsia"/>
                <w:szCs w:val="21"/>
              </w:rPr>
              <w:t>情况记录，目标、指示</w:t>
            </w:r>
            <w:r>
              <w:rPr>
                <w:rFonts w:hint="eastAsia" w:cs="宋体" w:asciiTheme="minorEastAsia" w:hAnsiTheme="minorEastAsia" w:eastAsiaTheme="minorEastAsia"/>
                <w:szCs w:val="21"/>
                <w:lang w:val="en-US" w:eastAsia="zh-CN"/>
              </w:rPr>
              <w:t>均</w:t>
            </w:r>
            <w:r>
              <w:rPr>
                <w:rFonts w:hint="eastAsia" w:cs="宋体" w:asciiTheme="minorEastAsia" w:hAnsiTheme="minorEastAsia" w:eastAsiaTheme="minorEastAsia"/>
                <w:szCs w:val="21"/>
              </w:rPr>
              <w:t>达成；</w:t>
            </w:r>
          </w:p>
          <w:p>
            <w:pPr>
              <w:spacing w:line="280" w:lineRule="exact"/>
              <w:ind w:firstLine="420" w:firstLineChars="200"/>
              <w:rPr>
                <w:rFonts w:hint="eastAsia" w:cs="宋体" w:asciiTheme="minorEastAsia" w:hAnsiTheme="minorEastAsia" w:eastAsiaTheme="minorEastAsia"/>
                <w:szCs w:val="21"/>
                <w:lang w:val="en-US" w:eastAsia="zh-CN"/>
              </w:rPr>
            </w:pPr>
            <w:r>
              <w:drawing>
                <wp:anchor distT="0" distB="0" distL="114300" distR="114300" simplePos="0" relativeHeight="251659264" behindDoc="0" locked="0" layoutInCell="1" allowOverlap="1">
                  <wp:simplePos x="0" y="0"/>
                  <wp:positionH relativeFrom="column">
                    <wp:posOffset>495300</wp:posOffset>
                  </wp:positionH>
                  <wp:positionV relativeFrom="paragraph">
                    <wp:posOffset>158750</wp:posOffset>
                  </wp:positionV>
                  <wp:extent cx="5381625" cy="1447800"/>
                  <wp:effectExtent l="0" t="0" r="9525"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5381625" cy="1447800"/>
                          </a:xfrm>
                          <a:prstGeom prst="rect">
                            <a:avLst/>
                          </a:prstGeom>
                          <a:noFill/>
                          <a:ln>
                            <a:noFill/>
                          </a:ln>
                        </pic:spPr>
                      </pic:pic>
                    </a:graphicData>
                  </a:graphic>
                </wp:anchor>
              </w:drawing>
            </w:r>
          </w:p>
          <w:p>
            <w:pPr>
              <w:spacing w:line="280" w:lineRule="exact"/>
              <w:ind w:firstLine="420" w:firstLineChars="200"/>
              <w:rPr>
                <w:rFonts w:hint="eastAsia" w:cs="宋体" w:asciiTheme="minorEastAsia" w:hAnsiTheme="minorEastAsia" w:eastAsiaTheme="minorEastAsia"/>
                <w:szCs w:val="21"/>
                <w:lang w:val="en-US" w:eastAsia="zh-CN"/>
              </w:rPr>
            </w:pPr>
          </w:p>
          <w:p>
            <w:pPr>
              <w:spacing w:line="280" w:lineRule="exact"/>
              <w:ind w:firstLine="420" w:firstLineChars="200"/>
              <w:rPr>
                <w:rFonts w:hint="eastAsia" w:cs="宋体" w:asciiTheme="minorEastAsia" w:hAnsiTheme="minorEastAsia" w:eastAsiaTheme="minorEastAsia"/>
                <w:szCs w:val="21"/>
                <w:lang w:val="en-US" w:eastAsia="zh-CN"/>
              </w:rPr>
            </w:pPr>
          </w:p>
          <w:p>
            <w:pPr>
              <w:spacing w:line="280" w:lineRule="exact"/>
              <w:ind w:firstLine="420" w:firstLineChars="200"/>
              <w:rPr>
                <w:rFonts w:hint="eastAsia" w:cs="宋体" w:asciiTheme="minorEastAsia" w:hAnsiTheme="minorEastAsia" w:eastAsiaTheme="minorEastAsia"/>
                <w:szCs w:val="21"/>
                <w:lang w:val="en-US" w:eastAsia="zh-CN"/>
              </w:rPr>
            </w:pPr>
          </w:p>
          <w:p>
            <w:pPr>
              <w:spacing w:line="280" w:lineRule="exact"/>
              <w:ind w:firstLine="420" w:firstLineChars="200"/>
              <w:rPr>
                <w:rFonts w:hint="eastAsia" w:cs="宋体" w:asciiTheme="minorEastAsia" w:hAnsiTheme="minorEastAsia" w:eastAsiaTheme="minorEastAsia"/>
                <w:szCs w:val="21"/>
                <w:lang w:val="en-US" w:eastAsia="zh-CN"/>
              </w:rPr>
            </w:pPr>
          </w:p>
          <w:p>
            <w:pPr>
              <w:spacing w:line="280" w:lineRule="exact"/>
              <w:ind w:firstLine="420" w:firstLineChars="200"/>
              <w:rPr>
                <w:rFonts w:hint="eastAsia" w:cs="宋体" w:asciiTheme="minorEastAsia" w:hAnsiTheme="minorEastAsia" w:eastAsiaTheme="minorEastAsia"/>
                <w:szCs w:val="21"/>
                <w:lang w:val="en-US" w:eastAsia="zh-CN"/>
              </w:rPr>
            </w:pPr>
          </w:p>
          <w:p>
            <w:pPr>
              <w:spacing w:line="280" w:lineRule="exact"/>
              <w:ind w:firstLine="420" w:firstLineChars="200"/>
              <w:rPr>
                <w:rFonts w:hint="eastAsia" w:cs="宋体" w:asciiTheme="minorEastAsia" w:hAnsiTheme="minorEastAsia" w:eastAsiaTheme="minorEastAsia"/>
                <w:szCs w:val="21"/>
                <w:lang w:val="en-US" w:eastAsia="zh-CN"/>
              </w:rPr>
            </w:pPr>
          </w:p>
          <w:p>
            <w:pPr>
              <w:spacing w:line="280" w:lineRule="exact"/>
              <w:ind w:firstLine="420" w:firstLineChars="200"/>
              <w:rPr>
                <w:rFonts w:hint="eastAsia" w:cs="宋体" w:asciiTheme="minorEastAsia" w:hAnsiTheme="minorEastAsia" w:eastAsiaTheme="minorEastAsia"/>
                <w:szCs w:val="21"/>
                <w:lang w:val="en-US" w:eastAsia="zh-CN"/>
              </w:rPr>
            </w:pPr>
          </w:p>
          <w:p>
            <w:pPr>
              <w:spacing w:line="280" w:lineRule="exact"/>
              <w:ind w:firstLine="420" w:firstLineChars="200"/>
              <w:rPr>
                <w:rFonts w:hint="eastAsia" w:cs="宋体" w:asciiTheme="minorEastAsia" w:hAnsiTheme="minorEastAsia" w:eastAsiaTheme="minorEastAsia"/>
                <w:szCs w:val="21"/>
                <w:lang w:val="en-US" w:eastAsia="zh-CN"/>
              </w:rPr>
            </w:pPr>
          </w:p>
          <w:p>
            <w:pPr>
              <w:spacing w:line="280" w:lineRule="exact"/>
              <w:ind w:firstLine="420" w:firstLineChars="200"/>
              <w:rPr>
                <w:rFonts w:hint="eastAsia" w:cs="Arial"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lang w:val="en-US" w:eastAsia="zh-CN"/>
              </w:rPr>
              <w:t xml:space="preserve">记录统计考核    批准：相鹏飞  </w:t>
            </w:r>
          </w:p>
        </w:tc>
        <w:tc>
          <w:tcPr>
            <w:tcW w:w="1564" w:type="dxa"/>
            <w:vAlign w:val="top"/>
          </w:tcPr>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OK</w:t>
            </w:r>
          </w:p>
          <w:p>
            <w:pPr>
              <w:spacing w:line="360" w:lineRule="auto"/>
              <w:rPr>
                <w:rFonts w:cs="Times New Roman" w:asciiTheme="majorEastAsia" w:hAnsiTheme="majorEastAsia" w:eastAsiaTheme="majorEastAsia"/>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132" w:type="dxa"/>
            <w:vAlign w:val="top"/>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人员</w:t>
            </w:r>
          </w:p>
          <w:p>
            <w:pPr>
              <w:spacing w:line="280" w:lineRule="exact"/>
              <w:ind w:firstLine="420" w:firstLineChars="200"/>
              <w:jc w:val="left"/>
              <w:rPr>
                <w:rFonts w:cs="宋体" w:asciiTheme="minorEastAsia" w:hAnsiTheme="minorEastAsia" w:eastAsiaTheme="minorEastAsia"/>
                <w:kern w:val="2"/>
                <w:sz w:val="21"/>
                <w:szCs w:val="21"/>
                <w:lang w:val="en-US" w:eastAsia="zh-CN" w:bidi="ar-SA"/>
              </w:rPr>
            </w:pPr>
          </w:p>
        </w:tc>
        <w:tc>
          <w:tcPr>
            <w:tcW w:w="947" w:type="dxa"/>
            <w:vAlign w:val="top"/>
          </w:tcPr>
          <w:p>
            <w:pPr>
              <w:spacing w:line="280" w:lineRule="exact"/>
              <w:ind w:firstLine="420" w:firstLineChars="200"/>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Q</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7.1.2</w:t>
            </w:r>
          </w:p>
        </w:tc>
        <w:tc>
          <w:tcPr>
            <w:tcW w:w="9875" w:type="dxa"/>
            <w:vAlign w:val="center"/>
          </w:tcPr>
          <w:p>
            <w:pPr>
              <w:spacing w:line="280" w:lineRule="exact"/>
              <w:ind w:firstLine="420" w:firstLineChars="200"/>
              <w:rPr>
                <w:rFonts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提供</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岗位任职</w:t>
            </w:r>
            <w:r>
              <w:rPr>
                <w:rFonts w:hint="eastAsia" w:cs="宋体" w:asciiTheme="minorEastAsia" w:hAnsiTheme="minorEastAsia" w:eastAsiaTheme="minorEastAsia"/>
                <w:szCs w:val="21"/>
              </w:rPr>
              <w:t xml:space="preserve">要求》 </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 xml:space="preserve">批准：卢峰 </w:t>
            </w:r>
            <w:r>
              <w:rPr>
                <w:rFonts w:hint="eastAsia" w:cs="宋体" w:asciiTheme="minorEastAsia" w:hAnsiTheme="minorEastAsia" w:eastAsiaTheme="minorEastAsia"/>
                <w:szCs w:val="21"/>
              </w:rPr>
              <w:t>2021年 09月 10日 ，内容包括：职位、学历、培训、技能和经验要求</w:t>
            </w:r>
            <w:r>
              <w:rPr>
                <w:rFonts w:hint="eastAsia" w:cs="宋体" w:asciiTheme="minorEastAsia" w:hAnsiTheme="minorEastAsia" w:eastAsiaTheme="minorEastAsia"/>
                <w:szCs w:val="21"/>
                <w:lang w:val="en-US" w:eastAsia="zh-CN"/>
              </w:rPr>
              <w:t>，涵盖公司目前各岗位，与负责人交流</w:t>
            </w:r>
            <w:r>
              <w:rPr>
                <w:rFonts w:hint="eastAsia" w:cs="宋体" w:asciiTheme="minorEastAsia" w:hAnsiTheme="minorEastAsia" w:eastAsiaTheme="minorEastAsia"/>
                <w:szCs w:val="21"/>
              </w:rPr>
              <w:t>人员适宜</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充分</w:t>
            </w:r>
            <w:r>
              <w:rPr>
                <w:rFonts w:hint="eastAsia" w:cs="宋体" w:asciiTheme="minorEastAsia" w:hAnsiTheme="minorEastAsia" w:eastAsiaTheme="minorEastAsia"/>
                <w:szCs w:val="21"/>
              </w:rPr>
              <w:t>。</w:t>
            </w:r>
          </w:p>
        </w:tc>
        <w:tc>
          <w:tcPr>
            <w:tcW w:w="1564" w:type="dxa"/>
            <w:vAlign w:val="top"/>
          </w:tcPr>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OK</w:t>
            </w:r>
          </w:p>
          <w:p>
            <w:pPr>
              <w:spacing w:line="360" w:lineRule="auto"/>
              <w:rPr>
                <w:rFonts w:cs="Times New Roman" w:asciiTheme="majorEastAsia" w:hAnsiTheme="majorEastAsia" w:eastAsiaTheme="majorEastAsia"/>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132" w:type="dxa"/>
            <w:vAlign w:val="top"/>
          </w:tcPr>
          <w:p>
            <w:pPr>
              <w:spacing w:line="280" w:lineRule="exact"/>
              <w:jc w:val="left"/>
              <w:rPr>
                <w:rFonts w:ascii="宋体" w:hAnsi="宋体" w:cs="Arial"/>
                <w:szCs w:val="21"/>
              </w:rPr>
            </w:pPr>
          </w:p>
          <w:p>
            <w:pPr>
              <w:spacing w:line="280" w:lineRule="exact"/>
              <w:jc w:val="left"/>
              <w:rPr>
                <w:rFonts w:ascii="宋体" w:hAnsi="宋体" w:cs="Arial"/>
                <w:szCs w:val="21"/>
              </w:rPr>
            </w:pPr>
            <w:r>
              <w:rPr>
                <w:rFonts w:hint="eastAsia" w:ascii="宋体" w:hAnsi="宋体" w:cs="Arial"/>
                <w:szCs w:val="21"/>
              </w:rPr>
              <w:t>组织的知识</w:t>
            </w:r>
          </w:p>
          <w:p>
            <w:pPr>
              <w:spacing w:line="280" w:lineRule="exact"/>
              <w:ind w:firstLine="420" w:firstLineChars="200"/>
              <w:jc w:val="left"/>
              <w:rPr>
                <w:rFonts w:cs="宋体" w:asciiTheme="minorEastAsia" w:hAnsiTheme="minorEastAsia" w:eastAsiaTheme="minorEastAsia"/>
                <w:kern w:val="2"/>
                <w:sz w:val="21"/>
                <w:szCs w:val="21"/>
                <w:lang w:val="en-US" w:eastAsia="zh-CN" w:bidi="ar-SA"/>
              </w:rPr>
            </w:pPr>
          </w:p>
        </w:tc>
        <w:tc>
          <w:tcPr>
            <w:tcW w:w="947" w:type="dxa"/>
            <w:vAlign w:val="top"/>
          </w:tcPr>
          <w:p>
            <w:pPr>
              <w:spacing w:line="280" w:lineRule="exact"/>
              <w:ind w:firstLine="420" w:firstLineChars="200"/>
              <w:jc w:val="left"/>
              <w:rPr>
                <w:rFonts w:ascii="宋体" w:hAnsi="宋体" w:cs="Arial"/>
                <w:szCs w:val="21"/>
              </w:rPr>
            </w:pPr>
          </w:p>
          <w:p>
            <w:pPr>
              <w:spacing w:line="280" w:lineRule="exact"/>
              <w:jc w:val="left"/>
              <w:rPr>
                <w:rFonts w:cs="宋体" w:asciiTheme="minorEastAsia" w:hAnsiTheme="minorEastAsia" w:eastAsiaTheme="minorEastAsia"/>
                <w:kern w:val="2"/>
                <w:sz w:val="21"/>
                <w:szCs w:val="21"/>
                <w:lang w:val="en-US" w:eastAsia="zh-CN" w:bidi="ar-SA"/>
              </w:rPr>
            </w:pPr>
            <w:r>
              <w:rPr>
                <w:rFonts w:hint="eastAsia" w:ascii="宋体" w:hAnsi="宋体" w:cs="Arial"/>
                <w:szCs w:val="21"/>
              </w:rPr>
              <w:t>Q</w:t>
            </w:r>
            <w:r>
              <w:rPr>
                <w:rFonts w:ascii="宋体" w:hAnsi="宋体" w:cs="Arial"/>
                <w:szCs w:val="21"/>
              </w:rPr>
              <w:t xml:space="preserve"> </w:t>
            </w:r>
            <w:r>
              <w:rPr>
                <w:rFonts w:hint="eastAsia" w:ascii="宋体" w:hAnsi="宋体" w:cs="Arial"/>
                <w:szCs w:val="21"/>
              </w:rPr>
              <w:t>7.1.6</w:t>
            </w:r>
          </w:p>
        </w:tc>
        <w:tc>
          <w:tcPr>
            <w:tcW w:w="9875" w:type="dxa"/>
            <w:vAlign w:val="center"/>
          </w:tcPr>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公司按手册中组织知识要求进行知识控制，公司确定运行过程所需的知识及管理要求；</w:t>
            </w:r>
          </w:p>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内部来源包括：公司运作准则（管理手册、程序文件、各项制度、作业记录等）、管理过程控制失败和成功项目吸取的经验教训和改进的结果等；</w:t>
            </w:r>
          </w:p>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外部来源包括：外来资料（如相关方反馈的信息、供应商和合作伙伴知识、竞争对手等）、法律法规、市场信息等。对知识的保持采取文件资料的保存和信息系统存储方式，在公司内部通过传递、交流、培训等方式获取。</w:t>
            </w:r>
          </w:p>
          <w:p>
            <w:pPr>
              <w:spacing w:line="280" w:lineRule="exact"/>
              <w:ind w:firstLine="420" w:firstLineChars="200"/>
              <w:rPr>
                <w:rFonts w:cs="宋体" w:asciiTheme="minorEastAsia" w:hAnsiTheme="minorEastAsia" w:eastAsiaTheme="minorEastAsia"/>
                <w:kern w:val="2"/>
                <w:sz w:val="21"/>
                <w:szCs w:val="21"/>
                <w:lang w:val="en-US" w:eastAsia="zh-CN" w:bidi="ar-SA"/>
              </w:rPr>
            </w:pPr>
            <w:r>
              <w:rPr>
                <w:rFonts w:hint="eastAsia" w:ascii="宋体" w:hAnsi="宋体" w:cs="Arial"/>
                <w:szCs w:val="21"/>
              </w:rPr>
              <w:t xml:space="preserve">为获取更多必要的知识采用工作经验总结、意见的采集，行业领先者的最佳实践调查等。 </w:t>
            </w:r>
          </w:p>
        </w:tc>
        <w:tc>
          <w:tcPr>
            <w:tcW w:w="1564" w:type="dxa"/>
            <w:vAlign w:val="top"/>
          </w:tcPr>
          <w:p>
            <w:pPr>
              <w:spacing w:line="360" w:lineRule="auto"/>
              <w:rPr>
                <w:rFonts w:hint="default" w:ascii="楷体" w:hAnsi="楷体" w:eastAsia="楷体" w:cs="Times New Roman"/>
                <w:kern w:val="2"/>
                <w:sz w:val="24"/>
                <w:szCs w:val="24"/>
                <w:lang w:val="en-US" w:eastAsia="zh-CN" w:bidi="ar-SA"/>
              </w:rPr>
            </w:pPr>
            <w:r>
              <w:rPr>
                <w:rFonts w:hint="eastAsia" w:asciiTheme="majorEastAsia" w:hAnsiTheme="majorEastAsia" w:eastAsiaTheme="majorEastAsia"/>
                <w:sz w:val="24"/>
                <w:szCs w:val="24"/>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132" w:type="dxa"/>
            <w:vAlign w:val="top"/>
          </w:tcPr>
          <w:p>
            <w:pPr>
              <w:spacing w:line="280" w:lineRule="exact"/>
              <w:ind w:firstLine="420" w:firstLineChars="200"/>
              <w:jc w:val="left"/>
              <w:rPr>
                <w:rFonts w:cs="宋体" w:asciiTheme="minorEastAsia" w:hAnsiTheme="minorEastAsia" w:eastAsiaTheme="minorEastAsia"/>
                <w:szCs w:val="21"/>
              </w:rPr>
            </w:pPr>
          </w:p>
          <w:p>
            <w:pPr>
              <w:spacing w:line="280" w:lineRule="exact"/>
              <w:ind w:firstLine="420" w:firstLineChars="200"/>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能力</w:t>
            </w:r>
          </w:p>
          <w:p>
            <w:pPr>
              <w:spacing w:line="280" w:lineRule="exact"/>
              <w:ind w:firstLine="420" w:firstLineChars="200"/>
              <w:jc w:val="left"/>
              <w:rPr>
                <w:rFonts w:cs="宋体" w:asciiTheme="minorEastAsia" w:hAnsiTheme="minorEastAsia" w:eastAsiaTheme="minorEastAsia"/>
                <w:kern w:val="2"/>
                <w:sz w:val="21"/>
                <w:szCs w:val="21"/>
                <w:lang w:val="en-US" w:eastAsia="zh-CN" w:bidi="ar-SA"/>
              </w:rPr>
            </w:pPr>
          </w:p>
        </w:tc>
        <w:tc>
          <w:tcPr>
            <w:tcW w:w="947" w:type="dxa"/>
            <w:vAlign w:val="top"/>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Q</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7.2</w:t>
            </w:r>
          </w:p>
          <w:p>
            <w:pPr>
              <w:spacing w:line="280" w:lineRule="exact"/>
              <w:ind w:firstLine="420" w:firstLineChars="200"/>
              <w:jc w:val="left"/>
              <w:rPr>
                <w:rFonts w:cs="宋体" w:asciiTheme="minorEastAsia" w:hAnsiTheme="minorEastAsia" w:eastAsiaTheme="minorEastAsia"/>
                <w:szCs w:val="21"/>
              </w:rPr>
            </w:pPr>
          </w:p>
          <w:p>
            <w:pPr>
              <w:spacing w:line="280" w:lineRule="exact"/>
              <w:ind w:firstLine="420" w:firstLineChars="200"/>
              <w:jc w:val="left"/>
              <w:rPr>
                <w:rFonts w:cs="宋体" w:asciiTheme="minorEastAsia" w:hAnsiTheme="minorEastAsia" w:eastAsiaTheme="minorEastAsia"/>
                <w:kern w:val="2"/>
                <w:sz w:val="21"/>
                <w:szCs w:val="21"/>
                <w:lang w:val="en-US" w:eastAsia="zh-CN" w:bidi="ar-SA"/>
              </w:rPr>
            </w:pPr>
          </w:p>
        </w:tc>
        <w:tc>
          <w:tcPr>
            <w:tcW w:w="9875" w:type="dxa"/>
            <w:vAlign w:val="center"/>
          </w:tcPr>
          <w:p>
            <w:pPr>
              <w:spacing w:line="280" w:lineRule="exact"/>
              <w:rPr>
                <w:rFonts w:hint="default"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 xml:space="preserve">    公司建立并执行《人力资源管理程序》</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查岗位任职评价：抽查</w:t>
            </w:r>
            <w:r>
              <w:rPr>
                <w:rFonts w:hint="eastAsia" w:cs="宋体" w:asciiTheme="minorEastAsia" w:hAnsiTheme="minorEastAsia" w:eastAsiaTheme="minorEastAsia"/>
                <w:szCs w:val="21"/>
                <w:lang w:val="en-US" w:eastAsia="zh-CN"/>
              </w:rPr>
              <w:t>王传明</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张启贵、刘启明</w:t>
            </w:r>
            <w:r>
              <w:rPr>
                <w:rFonts w:hint="eastAsia" w:cs="宋体" w:asciiTheme="minorEastAsia" w:hAnsiTheme="minorEastAsia" w:eastAsiaTheme="minorEastAsia"/>
                <w:szCs w:val="21"/>
              </w:rPr>
              <w:t>评价，采用分项打分法，评价结果称职</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得分为100分、97、97、94分</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记录评价时间</w:t>
            </w:r>
            <w:r>
              <w:rPr>
                <w:rFonts w:hint="eastAsia" w:cs="宋体" w:asciiTheme="minorEastAsia" w:hAnsiTheme="minorEastAsia" w:eastAsiaTheme="minorEastAsia"/>
                <w:szCs w:val="21"/>
              </w:rPr>
              <w:t>。</w:t>
            </w:r>
          </w:p>
          <w:p>
            <w:pPr>
              <w:rPr>
                <w:rFonts w:cs="宋体" w:asciiTheme="minorEastAsia" w:hAnsiTheme="minorEastAsia" w:eastAsiaTheme="minorEastAsia"/>
                <w:szCs w:val="21"/>
              </w:rPr>
            </w:pPr>
            <w:r>
              <w:rPr>
                <w:rFonts w:hint="eastAsia" w:cs="宋体" w:asciiTheme="minorEastAsia" w:hAnsiTheme="minorEastAsia" w:eastAsiaTheme="minorEastAsia"/>
                <w:szCs w:val="21"/>
              </w:rPr>
              <w:t>提供2021</w:t>
            </w:r>
            <w:r>
              <w:rPr>
                <w:rFonts w:hint="eastAsia" w:cs="宋体" w:asciiTheme="minorEastAsia" w:hAnsiTheme="minorEastAsia" w:eastAsiaTheme="minorEastAsia"/>
                <w:szCs w:val="21"/>
                <w:lang w:val="en-US" w:eastAsia="zh-CN"/>
              </w:rPr>
              <w:t>-2022年1月</w:t>
            </w:r>
            <w:r>
              <w:rPr>
                <w:rFonts w:hint="eastAsia" w:cs="宋体" w:asciiTheme="minorEastAsia" w:hAnsiTheme="minorEastAsia" w:eastAsiaTheme="minorEastAsia"/>
                <w:szCs w:val="21"/>
              </w:rPr>
              <w:t>培训计划，批准： 相鹏飞   2021年9月1日</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全年安排6次培训</w:t>
            </w:r>
            <w:r>
              <w:rPr>
                <w:rFonts w:hint="eastAsia" w:cs="宋体" w:asciiTheme="minorEastAsia" w:hAnsiTheme="minorEastAsia" w:eastAsiaTheme="minorEastAsia"/>
                <w:szCs w:val="21"/>
              </w:rPr>
              <w:t>，培训计划包括适用</w:t>
            </w:r>
            <w:r>
              <w:rPr>
                <w:rFonts w:hint="eastAsia" w:cs="宋体" w:asciiTheme="minorEastAsia" w:hAnsiTheme="minorEastAsia" w:eastAsiaTheme="minorEastAsia"/>
                <w:szCs w:val="21"/>
                <w:lang w:val="en-US" w:eastAsia="zh-CN"/>
              </w:rPr>
              <w:t>质量管理</w:t>
            </w:r>
            <w:r>
              <w:rPr>
                <w:rFonts w:hint="eastAsia" w:cs="宋体" w:asciiTheme="minorEastAsia" w:hAnsiTheme="minorEastAsia" w:eastAsiaTheme="minorEastAsia"/>
                <w:szCs w:val="21"/>
              </w:rPr>
              <w:t>体系标准</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质量</w:t>
            </w:r>
            <w:r>
              <w:rPr>
                <w:rFonts w:hint="eastAsia" w:cs="宋体" w:asciiTheme="minorEastAsia" w:hAnsiTheme="minorEastAsia" w:eastAsiaTheme="minorEastAsia"/>
                <w:szCs w:val="21"/>
              </w:rPr>
              <w:t>手册</w:t>
            </w:r>
            <w:r>
              <w:rPr>
                <w:rFonts w:hint="eastAsia" w:cs="宋体" w:asciiTheme="minorEastAsia" w:hAnsiTheme="minorEastAsia" w:eastAsiaTheme="minorEastAsia"/>
                <w:szCs w:val="21"/>
                <w:lang w:val="en-US" w:eastAsia="zh-CN"/>
              </w:rPr>
              <w:t>和</w:t>
            </w:r>
            <w:r>
              <w:rPr>
                <w:rFonts w:hint="eastAsia" w:cs="宋体" w:asciiTheme="minorEastAsia" w:hAnsiTheme="minorEastAsia" w:eastAsiaTheme="minorEastAsia"/>
                <w:szCs w:val="21"/>
              </w:rPr>
              <w:t>程序文件</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生产工艺技术培训、产品验收规范、安全生产培训</w:t>
            </w:r>
            <w:r>
              <w:rPr>
                <w:rFonts w:hint="eastAsia" w:cs="宋体" w:asciiTheme="minorEastAsia" w:hAnsiTheme="minorEastAsia" w:eastAsiaTheme="minorEastAsia"/>
                <w:szCs w:val="21"/>
              </w:rPr>
              <w:t>等。</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抽查《培训记录表》：</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1）2021.</w:t>
            </w:r>
            <w:r>
              <w:rPr>
                <w:rFonts w:hint="eastAsia" w:cs="宋体" w:asciiTheme="minorEastAsia" w:hAnsiTheme="minorEastAsia" w:eastAsiaTheme="minorEastAsia"/>
                <w:szCs w:val="21"/>
                <w:lang w:val="en-US" w:eastAsia="zh-CN"/>
              </w:rPr>
              <w:t>7</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10</w:t>
            </w:r>
            <w:r>
              <w:rPr>
                <w:rFonts w:hint="eastAsia" w:cs="宋体" w:asciiTheme="minorEastAsia" w:hAnsiTheme="minorEastAsia" w:eastAsiaTheme="minorEastAsia"/>
                <w:szCs w:val="21"/>
              </w:rPr>
              <w:t>日：各部门负责人</w:t>
            </w:r>
            <w:r>
              <w:rPr>
                <w:rFonts w:hint="eastAsia" w:cs="宋体" w:asciiTheme="minorEastAsia" w:hAnsiTheme="minorEastAsia" w:eastAsiaTheme="minorEastAsia"/>
                <w:szCs w:val="21"/>
                <w:lang w:val="en-US" w:eastAsia="zh-CN"/>
              </w:rPr>
              <w:t xml:space="preserve">参加并签名  </w:t>
            </w:r>
            <w:r>
              <w:rPr>
                <w:rFonts w:hint="eastAsia" w:cs="宋体" w:asciiTheme="minorEastAsia" w:hAnsiTheme="minorEastAsia" w:eastAsiaTheme="minorEastAsia"/>
                <w:szCs w:val="21"/>
              </w:rPr>
              <w:t>培训题目</w:t>
            </w:r>
            <w:r>
              <w:rPr>
                <w:rFonts w:hint="eastAsia" w:cs="宋体" w:asciiTheme="minorEastAsia" w:hAnsiTheme="minorEastAsia" w:eastAsiaTheme="minorEastAsia"/>
                <w:szCs w:val="21"/>
                <w:lang w:val="en-US" w:eastAsia="zh-CN"/>
              </w:rPr>
              <w:t>质量</w:t>
            </w:r>
            <w:r>
              <w:rPr>
                <w:rFonts w:hint="eastAsia" w:cs="宋体" w:asciiTheme="minorEastAsia" w:hAnsiTheme="minorEastAsia" w:eastAsiaTheme="minorEastAsia"/>
                <w:szCs w:val="21"/>
              </w:rPr>
              <w:t>管理体系标准知识培训，</w:t>
            </w:r>
            <w:r>
              <w:rPr>
                <w:rFonts w:hint="eastAsia" w:cs="宋体" w:asciiTheme="minorEastAsia" w:hAnsiTheme="minorEastAsia" w:eastAsiaTheme="minorEastAsia"/>
                <w:szCs w:val="21"/>
                <w:lang w:val="en-US" w:eastAsia="zh-CN"/>
              </w:rPr>
              <w:t>记录</w:t>
            </w:r>
            <w:r>
              <w:rPr>
                <w:rFonts w:hint="eastAsia" w:cs="宋体" w:asciiTheme="minorEastAsia" w:hAnsiTheme="minorEastAsia" w:eastAsiaTheme="minorEastAsia"/>
                <w:szCs w:val="21"/>
              </w:rPr>
              <w:t>培训老师</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培训内容</w:t>
            </w:r>
            <w:r>
              <w:rPr>
                <w:rFonts w:hint="eastAsia" w:cs="宋体" w:asciiTheme="minorEastAsia" w:hAnsiTheme="minorEastAsia" w:eastAsiaTheme="minorEastAsia"/>
                <w:szCs w:val="21"/>
              </w:rPr>
              <w:t>，通过提问考核，考核结果：合格，培训有效；</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2）2021.</w:t>
            </w:r>
            <w:r>
              <w:rPr>
                <w:rFonts w:hint="eastAsia" w:cs="宋体" w:asciiTheme="minorEastAsia" w:hAnsiTheme="minorEastAsia" w:eastAsiaTheme="minorEastAsia"/>
                <w:szCs w:val="21"/>
                <w:lang w:val="en-US" w:eastAsia="zh-CN"/>
              </w:rPr>
              <w:t>8</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11</w:t>
            </w:r>
            <w:r>
              <w:rPr>
                <w:rFonts w:hint="eastAsia" w:cs="宋体" w:asciiTheme="minorEastAsia" w:hAnsiTheme="minorEastAsia" w:eastAsiaTheme="minorEastAsia"/>
                <w:szCs w:val="21"/>
              </w:rPr>
              <w:t>日：各部门负责人</w:t>
            </w:r>
            <w:r>
              <w:rPr>
                <w:rFonts w:hint="eastAsia" w:cs="宋体" w:asciiTheme="minorEastAsia" w:hAnsiTheme="minorEastAsia" w:eastAsiaTheme="minorEastAsia"/>
                <w:szCs w:val="21"/>
                <w:lang w:val="en-US" w:eastAsia="zh-CN"/>
              </w:rPr>
              <w:t xml:space="preserve">参加并签名  </w:t>
            </w:r>
            <w:r>
              <w:rPr>
                <w:rFonts w:hint="eastAsia" w:cs="宋体" w:asciiTheme="minorEastAsia" w:hAnsiTheme="minorEastAsia" w:eastAsiaTheme="minorEastAsia"/>
                <w:szCs w:val="21"/>
              </w:rPr>
              <w:t>培训题目</w:t>
            </w:r>
            <w:r>
              <w:rPr>
                <w:rFonts w:hint="eastAsia" w:cs="宋体" w:asciiTheme="minorEastAsia" w:hAnsiTheme="minorEastAsia" w:eastAsiaTheme="minorEastAsia"/>
                <w:szCs w:val="21"/>
                <w:lang w:val="en-US" w:eastAsia="zh-CN"/>
              </w:rPr>
              <w:t>质量</w:t>
            </w:r>
            <w:r>
              <w:rPr>
                <w:rFonts w:hint="eastAsia" w:cs="宋体" w:asciiTheme="minorEastAsia" w:hAnsiTheme="minorEastAsia" w:eastAsiaTheme="minorEastAsia"/>
                <w:szCs w:val="21"/>
              </w:rPr>
              <w:t>手册、程序文件，</w:t>
            </w:r>
            <w:r>
              <w:rPr>
                <w:rFonts w:hint="eastAsia" w:cs="宋体" w:asciiTheme="minorEastAsia" w:hAnsiTheme="minorEastAsia" w:eastAsiaTheme="minorEastAsia"/>
                <w:szCs w:val="21"/>
                <w:lang w:val="en-US" w:eastAsia="zh-CN"/>
              </w:rPr>
              <w:t>记录</w:t>
            </w:r>
            <w:r>
              <w:rPr>
                <w:rFonts w:hint="eastAsia" w:cs="宋体" w:asciiTheme="minorEastAsia" w:hAnsiTheme="minorEastAsia" w:eastAsiaTheme="minorEastAsia"/>
                <w:szCs w:val="21"/>
              </w:rPr>
              <w:t>培训老师</w:t>
            </w:r>
            <w:r>
              <w:rPr>
                <w:rFonts w:hint="eastAsia" w:cs="宋体" w:asciiTheme="minorEastAsia" w:hAnsiTheme="minorEastAsia" w:eastAsiaTheme="minorEastAsia"/>
                <w:szCs w:val="21"/>
                <w:lang w:val="en-US" w:eastAsia="zh-CN"/>
              </w:rPr>
              <w:t>和培训内容</w:t>
            </w:r>
            <w:r>
              <w:rPr>
                <w:rFonts w:hint="eastAsia" w:cs="宋体" w:asciiTheme="minorEastAsia" w:hAnsiTheme="minorEastAsia" w:eastAsiaTheme="minorEastAsia"/>
                <w:szCs w:val="21"/>
              </w:rPr>
              <w:t>，通过提问考核，考核结果：合格，培训有效；</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3）2021.</w:t>
            </w:r>
            <w:r>
              <w:rPr>
                <w:rFonts w:hint="eastAsia" w:cs="宋体" w:asciiTheme="minorEastAsia" w:hAnsiTheme="minorEastAsia" w:eastAsiaTheme="minorEastAsia"/>
                <w:szCs w:val="21"/>
                <w:lang w:val="en-US" w:eastAsia="zh-CN"/>
              </w:rPr>
              <w:t>10</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18</w:t>
            </w:r>
            <w:r>
              <w:rPr>
                <w:rFonts w:hint="eastAsia" w:cs="宋体" w:asciiTheme="minorEastAsia" w:hAnsiTheme="minorEastAsia" w:eastAsiaTheme="minorEastAsia"/>
                <w:szCs w:val="21"/>
              </w:rPr>
              <w:t>日：</w:t>
            </w:r>
            <w:r>
              <w:rPr>
                <w:rFonts w:hint="eastAsia" w:cs="宋体" w:asciiTheme="minorEastAsia" w:hAnsiTheme="minorEastAsia" w:eastAsiaTheme="minorEastAsia"/>
                <w:szCs w:val="21"/>
                <w:lang w:val="en-US" w:eastAsia="zh-CN"/>
              </w:rPr>
              <w:t xml:space="preserve">生产人员签名 </w:t>
            </w:r>
            <w:r>
              <w:rPr>
                <w:rFonts w:hint="eastAsia" w:cs="宋体" w:asciiTheme="minorEastAsia" w:hAnsiTheme="minorEastAsia" w:eastAsiaTheme="minorEastAsia"/>
                <w:szCs w:val="21"/>
              </w:rPr>
              <w:t xml:space="preserve"> 培训题目</w:t>
            </w:r>
            <w:r>
              <w:rPr>
                <w:rFonts w:hint="eastAsia" w:cs="宋体" w:asciiTheme="minorEastAsia" w:hAnsiTheme="minorEastAsia" w:eastAsiaTheme="minorEastAsia"/>
                <w:szCs w:val="21"/>
                <w:lang w:val="en-US" w:eastAsia="zh-CN"/>
              </w:rPr>
              <w:t>生产工序技能培训</w:t>
            </w:r>
            <w:r>
              <w:rPr>
                <w:rFonts w:hint="eastAsia" w:cs="宋体" w:asciiTheme="minorEastAsia" w:hAnsiTheme="minorEastAsia" w:eastAsiaTheme="minorEastAsia"/>
                <w:szCs w:val="21"/>
              </w:rPr>
              <w:t>，有培训老师</w:t>
            </w:r>
            <w:r>
              <w:rPr>
                <w:rFonts w:hint="eastAsia" w:cs="宋体" w:asciiTheme="minorEastAsia" w:hAnsiTheme="minorEastAsia" w:eastAsiaTheme="minorEastAsia"/>
                <w:szCs w:val="21"/>
                <w:lang w:val="en-US" w:eastAsia="zh-CN"/>
              </w:rPr>
              <w:t>和培训内容</w:t>
            </w:r>
            <w:r>
              <w:rPr>
                <w:rFonts w:hint="eastAsia" w:cs="宋体" w:asciiTheme="minorEastAsia" w:hAnsiTheme="minorEastAsia" w:eastAsiaTheme="minorEastAsia"/>
                <w:szCs w:val="21"/>
              </w:rPr>
              <w:t>记录，通过提问考核，考核结果：合格，培训有效。</w:t>
            </w: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kern w:val="2"/>
                <w:sz w:val="21"/>
                <w:szCs w:val="21"/>
                <w:lang w:val="en-US" w:eastAsia="zh-CN" w:bidi="ar-SA"/>
              </w:rPr>
              <w:t xml:space="preserve">抽有电工操作上岗证  刘泗权 有低压电工作业上岗证，有效期2024年10月27日 </w:t>
            </w: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kern w:val="2"/>
                <w:sz w:val="21"/>
                <w:szCs w:val="21"/>
                <w:lang w:val="en-US" w:eastAsia="zh-CN" w:bidi="ar-SA"/>
              </w:rPr>
              <w:t>抽有刘增宝、刘耀华焊接与热切割作业上岗证，均在有效期内；</w:t>
            </w:r>
          </w:p>
          <w:p>
            <w:pPr>
              <w:spacing w:line="280" w:lineRule="exact"/>
              <w:ind w:firstLine="420" w:firstLineChars="200"/>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eastAsiaTheme="minorEastAsia"/>
                <w:kern w:val="2"/>
                <w:sz w:val="21"/>
                <w:szCs w:val="21"/>
                <w:highlight w:val="none"/>
                <w:lang w:val="en-US" w:eastAsia="zh-CN" w:bidi="ar-SA"/>
              </w:rPr>
              <w:t>抽有刘明波 叉车证 均在有效期内2024年9月。</w:t>
            </w:r>
          </w:p>
          <w:p>
            <w:pPr>
              <w:spacing w:line="280" w:lineRule="exact"/>
              <w:ind w:firstLine="420" w:firstLineChars="200"/>
              <w:rPr>
                <w:rFonts w:hint="eastAsia" w:cs="宋体" w:asciiTheme="minorEastAsia" w:hAnsiTheme="minorEastAsia" w:eastAsiaTheme="minorEastAsia"/>
                <w:kern w:val="2"/>
                <w:sz w:val="21"/>
                <w:szCs w:val="21"/>
                <w:highlight w:val="yellow"/>
                <w:lang w:val="en-US" w:eastAsia="zh-CN" w:bidi="ar-SA"/>
              </w:rPr>
            </w:pPr>
            <w:r>
              <w:drawing>
                <wp:anchor distT="0" distB="0" distL="114300" distR="114300" simplePos="0" relativeHeight="251660288" behindDoc="0" locked="0" layoutInCell="1" allowOverlap="1">
                  <wp:simplePos x="0" y="0"/>
                  <wp:positionH relativeFrom="column">
                    <wp:posOffset>2893695</wp:posOffset>
                  </wp:positionH>
                  <wp:positionV relativeFrom="paragraph">
                    <wp:posOffset>20955</wp:posOffset>
                  </wp:positionV>
                  <wp:extent cx="2580640" cy="1567815"/>
                  <wp:effectExtent l="0" t="0" r="10160" b="1333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2580640" cy="1567815"/>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272415</wp:posOffset>
                  </wp:positionH>
                  <wp:positionV relativeFrom="paragraph">
                    <wp:posOffset>15240</wp:posOffset>
                  </wp:positionV>
                  <wp:extent cx="2509520" cy="1568450"/>
                  <wp:effectExtent l="0" t="0" r="5080" b="1270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509520" cy="1568450"/>
                          </a:xfrm>
                          <a:prstGeom prst="rect">
                            <a:avLst/>
                          </a:prstGeom>
                          <a:noFill/>
                          <a:ln>
                            <a:noFill/>
                          </a:ln>
                        </pic:spPr>
                      </pic:pic>
                    </a:graphicData>
                  </a:graphic>
                </wp:anchor>
              </w:drawing>
            </w:r>
          </w:p>
          <w:p>
            <w:pPr>
              <w:spacing w:line="280" w:lineRule="exact"/>
              <w:ind w:firstLine="420" w:firstLineChars="200"/>
              <w:rPr>
                <w:rFonts w:hint="eastAsia" w:cs="宋体" w:asciiTheme="minorEastAsia" w:hAnsiTheme="minorEastAsia" w:eastAsiaTheme="minorEastAsia"/>
                <w:kern w:val="2"/>
                <w:sz w:val="21"/>
                <w:szCs w:val="21"/>
                <w:highlight w:val="yellow"/>
                <w:lang w:val="en-US" w:eastAsia="zh-CN" w:bidi="ar-SA"/>
              </w:rPr>
            </w:pPr>
          </w:p>
          <w:p>
            <w:pPr>
              <w:spacing w:line="280" w:lineRule="exact"/>
              <w:ind w:firstLine="420" w:firstLineChars="200"/>
              <w:rPr>
                <w:rFonts w:hint="eastAsia" w:cs="宋体" w:asciiTheme="minorEastAsia" w:hAnsiTheme="minorEastAsia" w:eastAsiaTheme="minorEastAsia"/>
                <w:kern w:val="2"/>
                <w:sz w:val="21"/>
                <w:szCs w:val="21"/>
                <w:highlight w:val="yellow"/>
                <w:lang w:val="en-US" w:eastAsia="zh-CN" w:bidi="ar-SA"/>
              </w:rPr>
            </w:pPr>
          </w:p>
          <w:p>
            <w:pPr>
              <w:spacing w:line="280" w:lineRule="exact"/>
              <w:ind w:firstLine="420" w:firstLineChars="200"/>
              <w:rPr>
                <w:rFonts w:hint="eastAsia" w:cs="宋体" w:asciiTheme="minorEastAsia" w:hAnsiTheme="minorEastAsia" w:eastAsiaTheme="minorEastAsia"/>
                <w:kern w:val="2"/>
                <w:sz w:val="21"/>
                <w:szCs w:val="21"/>
                <w:highlight w:val="yellow"/>
                <w:lang w:val="en-US" w:eastAsia="zh-CN" w:bidi="ar-SA"/>
              </w:rPr>
            </w:pPr>
          </w:p>
          <w:p>
            <w:pPr>
              <w:spacing w:line="280" w:lineRule="exact"/>
              <w:ind w:firstLine="420" w:firstLineChars="200"/>
              <w:rPr>
                <w:rFonts w:hint="eastAsia" w:cs="宋体" w:asciiTheme="minorEastAsia" w:hAnsiTheme="minorEastAsia" w:eastAsiaTheme="minorEastAsia"/>
                <w:kern w:val="2"/>
                <w:sz w:val="21"/>
                <w:szCs w:val="21"/>
                <w:highlight w:val="yellow"/>
                <w:lang w:val="en-US" w:eastAsia="zh-CN" w:bidi="ar-SA"/>
              </w:rPr>
            </w:pPr>
          </w:p>
          <w:p>
            <w:pPr>
              <w:spacing w:line="280" w:lineRule="exact"/>
              <w:ind w:firstLine="420" w:firstLineChars="200"/>
              <w:rPr>
                <w:rFonts w:hint="eastAsia" w:cs="宋体" w:asciiTheme="minorEastAsia" w:hAnsiTheme="minorEastAsia" w:eastAsiaTheme="minorEastAsia"/>
                <w:kern w:val="2"/>
                <w:sz w:val="21"/>
                <w:szCs w:val="21"/>
                <w:highlight w:val="yellow"/>
                <w:lang w:val="en-US" w:eastAsia="zh-CN" w:bidi="ar-SA"/>
              </w:rPr>
            </w:pPr>
          </w:p>
          <w:p>
            <w:pPr>
              <w:spacing w:line="280" w:lineRule="exact"/>
              <w:ind w:firstLine="420" w:firstLineChars="200"/>
              <w:rPr>
                <w:rFonts w:hint="eastAsia" w:cs="宋体" w:asciiTheme="minorEastAsia" w:hAnsiTheme="minorEastAsia" w:eastAsiaTheme="minorEastAsia"/>
                <w:kern w:val="2"/>
                <w:sz w:val="21"/>
                <w:szCs w:val="21"/>
                <w:highlight w:val="yellow"/>
                <w:lang w:val="en-US" w:eastAsia="zh-CN" w:bidi="ar-SA"/>
              </w:rPr>
            </w:pPr>
          </w:p>
          <w:p>
            <w:pPr>
              <w:spacing w:line="280" w:lineRule="exact"/>
              <w:ind w:firstLine="420" w:firstLineChars="200"/>
              <w:rPr>
                <w:rFonts w:hint="eastAsia" w:cs="宋体" w:asciiTheme="minorEastAsia" w:hAnsiTheme="minorEastAsia" w:eastAsiaTheme="minorEastAsia"/>
                <w:kern w:val="2"/>
                <w:sz w:val="21"/>
                <w:szCs w:val="21"/>
                <w:highlight w:val="yellow"/>
                <w:lang w:val="en-US" w:eastAsia="zh-CN" w:bidi="ar-SA"/>
              </w:rPr>
            </w:pPr>
          </w:p>
          <w:p>
            <w:pPr>
              <w:spacing w:line="280" w:lineRule="exact"/>
              <w:ind w:firstLine="420" w:firstLineChars="200"/>
              <w:rPr>
                <w:rFonts w:hint="eastAsia" w:cs="宋体" w:asciiTheme="minorEastAsia" w:hAnsiTheme="minorEastAsia" w:eastAsiaTheme="minorEastAsia"/>
                <w:kern w:val="2"/>
                <w:sz w:val="21"/>
                <w:szCs w:val="21"/>
                <w:highlight w:val="yellow"/>
                <w:lang w:val="en-US" w:eastAsia="zh-CN" w:bidi="ar-SA"/>
              </w:rPr>
            </w:pPr>
          </w:p>
          <w:p>
            <w:pPr>
              <w:spacing w:line="280" w:lineRule="exact"/>
              <w:ind w:firstLine="420" w:firstLineChars="200"/>
              <w:rPr>
                <w:rFonts w:hint="eastAsia" w:cs="宋体" w:asciiTheme="minorEastAsia" w:hAnsiTheme="minorEastAsia" w:eastAsiaTheme="minorEastAsia"/>
                <w:kern w:val="2"/>
                <w:sz w:val="21"/>
                <w:szCs w:val="21"/>
                <w:highlight w:val="yellow"/>
                <w:lang w:val="en-US" w:eastAsia="zh-CN" w:bidi="ar-SA"/>
              </w:rPr>
            </w:pPr>
          </w:p>
          <w:p>
            <w:pPr>
              <w:spacing w:line="280" w:lineRule="exact"/>
              <w:ind w:firstLine="420" w:firstLineChars="200"/>
              <w:rPr>
                <w:rFonts w:hint="eastAsia" w:cs="宋体" w:asciiTheme="minorEastAsia" w:hAnsiTheme="minorEastAsia" w:eastAsiaTheme="minorEastAsia"/>
                <w:kern w:val="2"/>
                <w:sz w:val="21"/>
                <w:szCs w:val="21"/>
                <w:highlight w:val="yellow"/>
                <w:lang w:val="en-US" w:eastAsia="zh-CN" w:bidi="ar-SA"/>
              </w:rPr>
            </w:pP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r>
              <w:drawing>
                <wp:anchor distT="0" distB="0" distL="114300" distR="114300" simplePos="0" relativeHeight="251662336" behindDoc="0" locked="0" layoutInCell="1" allowOverlap="1">
                  <wp:simplePos x="0" y="0"/>
                  <wp:positionH relativeFrom="column">
                    <wp:posOffset>3525520</wp:posOffset>
                  </wp:positionH>
                  <wp:positionV relativeFrom="paragraph">
                    <wp:posOffset>-389255</wp:posOffset>
                  </wp:positionV>
                  <wp:extent cx="1742440" cy="2547620"/>
                  <wp:effectExtent l="0" t="0" r="5080" b="10160"/>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rot="16200000">
                            <a:off x="0" y="0"/>
                            <a:ext cx="1742440" cy="254762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678180</wp:posOffset>
                  </wp:positionH>
                  <wp:positionV relativeFrom="paragraph">
                    <wp:posOffset>-397510</wp:posOffset>
                  </wp:positionV>
                  <wp:extent cx="1754505" cy="2573020"/>
                  <wp:effectExtent l="0" t="0" r="17780" b="17145"/>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rot="16200000">
                            <a:off x="0" y="0"/>
                            <a:ext cx="1754505" cy="2573020"/>
                          </a:xfrm>
                          <a:prstGeom prst="rect">
                            <a:avLst/>
                          </a:prstGeom>
                          <a:noFill/>
                          <a:ln>
                            <a:noFill/>
                          </a:ln>
                        </pic:spPr>
                      </pic:pic>
                    </a:graphicData>
                  </a:graphic>
                </wp:anchor>
              </w:drawing>
            </w: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p>
          <w:p>
            <w:pPr>
              <w:spacing w:line="280" w:lineRule="exact"/>
              <w:ind w:firstLine="420" w:firstLineChars="200"/>
              <w:rPr>
                <w:rFonts w:hint="default" w:cs="宋体" w:asciiTheme="minorEastAsia" w:hAnsiTheme="minorEastAsia" w:eastAsiaTheme="minorEastAsia"/>
                <w:kern w:val="2"/>
                <w:sz w:val="21"/>
                <w:szCs w:val="21"/>
                <w:lang w:val="en-US" w:eastAsia="zh-CN" w:bidi="ar-SA"/>
              </w:rPr>
            </w:pPr>
          </w:p>
        </w:tc>
        <w:tc>
          <w:tcPr>
            <w:tcW w:w="1564" w:type="dxa"/>
            <w:vAlign w:val="top"/>
          </w:tcPr>
          <w:p>
            <w:pPr>
              <w:spacing w:line="360" w:lineRule="auto"/>
              <w:rPr>
                <w:rFonts w:asciiTheme="majorEastAsia" w:hAnsiTheme="majorEastAsia" w:eastAsiaTheme="majorEastAsia"/>
                <w:sz w:val="24"/>
                <w:szCs w:val="24"/>
              </w:rPr>
            </w:pPr>
          </w:p>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OK</w:t>
            </w:r>
          </w:p>
          <w:p>
            <w:pPr>
              <w:spacing w:line="360" w:lineRule="auto"/>
              <w:rPr>
                <w:rFonts w:hint="default" w:ascii="楷体" w:hAnsi="楷体" w:eastAsia="楷体"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132" w:type="dxa"/>
            <w:vAlign w:val="top"/>
          </w:tcPr>
          <w:p>
            <w:pPr>
              <w:spacing w:line="280" w:lineRule="exact"/>
              <w:ind w:firstLine="420" w:firstLineChars="200"/>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意识</w:t>
            </w:r>
          </w:p>
          <w:p>
            <w:pPr>
              <w:spacing w:line="280" w:lineRule="exact"/>
              <w:ind w:firstLine="420" w:firstLineChars="200"/>
              <w:jc w:val="left"/>
              <w:rPr>
                <w:rFonts w:cs="宋体" w:asciiTheme="minorEastAsia" w:hAnsiTheme="minorEastAsia" w:eastAsiaTheme="minorEastAsia"/>
                <w:kern w:val="2"/>
                <w:sz w:val="21"/>
                <w:szCs w:val="21"/>
                <w:lang w:val="en-US" w:eastAsia="zh-CN" w:bidi="ar-SA"/>
              </w:rPr>
            </w:pPr>
          </w:p>
        </w:tc>
        <w:tc>
          <w:tcPr>
            <w:tcW w:w="947" w:type="dxa"/>
            <w:vAlign w:val="top"/>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Q</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7.3</w:t>
            </w:r>
          </w:p>
          <w:p>
            <w:pPr>
              <w:spacing w:line="280" w:lineRule="exact"/>
              <w:ind w:firstLine="420" w:firstLineChars="200"/>
              <w:jc w:val="left"/>
              <w:rPr>
                <w:rFonts w:cs="宋体" w:asciiTheme="minorEastAsia" w:hAnsiTheme="minorEastAsia" w:eastAsiaTheme="minorEastAsia"/>
                <w:kern w:val="2"/>
                <w:sz w:val="21"/>
                <w:szCs w:val="21"/>
                <w:lang w:val="en-US" w:eastAsia="zh-CN" w:bidi="ar-SA"/>
              </w:rPr>
            </w:pPr>
          </w:p>
        </w:tc>
        <w:tc>
          <w:tcPr>
            <w:tcW w:w="9875" w:type="dxa"/>
            <w:vAlign w:val="center"/>
          </w:tcPr>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公司通过学习、会议、宣传等方法使在组织控制范围内的相关工作人员知晓和理解质量方针、质量目标；</w:t>
            </w:r>
          </w:p>
          <w:p>
            <w:pPr>
              <w:spacing w:line="280" w:lineRule="exact"/>
              <w:ind w:firstLine="420" w:firstLineChars="200"/>
              <w:rPr>
                <w:rFonts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员工为本公司管理体系有效性的贡献的意义和途径，包括改进管理绩效的益处；不符合质量</w:t>
            </w:r>
            <w:r>
              <w:rPr>
                <w:rFonts w:hint="eastAsia" w:cs="宋体" w:asciiTheme="minorEastAsia" w:hAnsiTheme="minorEastAsia" w:eastAsiaTheme="minorEastAsia"/>
                <w:szCs w:val="21"/>
                <w:lang w:val="en-US" w:eastAsia="zh-CN"/>
              </w:rPr>
              <w:t>管</w:t>
            </w:r>
            <w:r>
              <w:rPr>
                <w:rFonts w:hint="eastAsia" w:cs="宋体" w:asciiTheme="minorEastAsia" w:hAnsiTheme="minorEastAsia" w:eastAsiaTheme="minorEastAsia"/>
                <w:szCs w:val="21"/>
              </w:rPr>
              <w:t>理体系要求的后果。</w:t>
            </w:r>
          </w:p>
        </w:tc>
        <w:tc>
          <w:tcPr>
            <w:tcW w:w="1564" w:type="dxa"/>
            <w:vAlign w:val="top"/>
          </w:tcPr>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OK</w:t>
            </w:r>
          </w:p>
          <w:p>
            <w:pPr>
              <w:spacing w:line="360" w:lineRule="auto"/>
              <w:rPr>
                <w:rFonts w:ascii="楷体" w:hAnsi="楷体" w:eastAsia="楷体"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32" w:type="dxa"/>
            <w:vAlign w:val="top"/>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形成文件信息 总则</w:t>
            </w:r>
          </w:p>
        </w:tc>
        <w:tc>
          <w:tcPr>
            <w:tcW w:w="947" w:type="dxa"/>
            <w:vAlign w:val="top"/>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Q</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7.5</w:t>
            </w:r>
          </w:p>
          <w:p>
            <w:pPr>
              <w:spacing w:line="280" w:lineRule="exact"/>
              <w:jc w:val="left"/>
              <w:rPr>
                <w:rFonts w:cs="宋体" w:asciiTheme="minorEastAsia" w:hAnsiTheme="minorEastAsia" w:eastAsiaTheme="minorEastAsia"/>
                <w:szCs w:val="21"/>
              </w:rPr>
            </w:pPr>
            <w:r>
              <w:rPr>
                <w:rFonts w:cs="宋体" w:asciiTheme="minorEastAsia" w:hAnsiTheme="minorEastAsia" w:eastAsiaTheme="minorEastAsia"/>
                <w:szCs w:val="21"/>
              </w:rPr>
              <w:t>7.5.1</w:t>
            </w:r>
          </w:p>
          <w:p>
            <w:pPr>
              <w:spacing w:line="280" w:lineRule="exact"/>
              <w:ind w:firstLine="420" w:firstLineChars="200"/>
              <w:jc w:val="left"/>
              <w:rPr>
                <w:rFonts w:cs="宋体" w:asciiTheme="minorEastAsia" w:hAnsiTheme="minorEastAsia" w:eastAsiaTheme="minorEastAsia"/>
                <w:kern w:val="2"/>
                <w:sz w:val="21"/>
                <w:szCs w:val="21"/>
                <w:lang w:val="en-US" w:eastAsia="zh-CN" w:bidi="ar-SA"/>
              </w:rPr>
            </w:pPr>
          </w:p>
        </w:tc>
        <w:tc>
          <w:tcPr>
            <w:tcW w:w="9875" w:type="dxa"/>
            <w:vAlign w:val="center"/>
          </w:tcPr>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公司质量管理体系包括：</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手册、程序文件、管理制度、</w:t>
            </w:r>
            <w:r>
              <w:rPr>
                <w:rFonts w:hint="eastAsia" w:cs="宋体" w:asciiTheme="minorEastAsia" w:hAnsiTheme="minorEastAsia" w:eastAsiaTheme="minorEastAsia"/>
                <w:szCs w:val="21"/>
                <w:lang w:val="en-US" w:eastAsia="zh-CN"/>
              </w:rPr>
              <w:t>操作规程</w:t>
            </w:r>
            <w:r>
              <w:rPr>
                <w:rFonts w:hint="eastAsia" w:cs="宋体" w:asciiTheme="minorEastAsia" w:hAnsiTheme="minorEastAsia" w:eastAsiaTheme="minorEastAsia"/>
                <w:szCs w:val="21"/>
              </w:rPr>
              <w:t>和外来文件、记录；</w:t>
            </w:r>
          </w:p>
          <w:p>
            <w:pPr>
              <w:spacing w:line="280" w:lineRule="exact"/>
              <w:ind w:firstLine="420" w:firstLineChars="200"/>
              <w:rPr>
                <w:rFonts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公司建立文件和记录时考虑本公司的规模、经营现状、合规义务的需要，过程的复杂性以及人员的能力等因素，确定了为确保管理体系有效性所需的支持性文件。</w:t>
            </w:r>
            <w:r>
              <w:rPr>
                <w:rFonts w:cs="宋体" w:asciiTheme="minorEastAsia" w:hAnsiTheme="minorEastAsia" w:eastAsiaTheme="minorEastAsia"/>
                <w:szCs w:val="21"/>
              </w:rPr>
              <w:t xml:space="preserve"> </w:t>
            </w:r>
          </w:p>
        </w:tc>
        <w:tc>
          <w:tcPr>
            <w:tcW w:w="1564" w:type="dxa"/>
            <w:vAlign w:val="top"/>
          </w:tcPr>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OK</w:t>
            </w:r>
          </w:p>
          <w:p>
            <w:pPr>
              <w:spacing w:line="360" w:lineRule="auto"/>
              <w:rPr>
                <w:rFonts w:ascii="楷体" w:hAnsi="楷体" w:eastAsia="楷体"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2132" w:type="dxa"/>
            <w:vAlign w:val="top"/>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创建和更新</w:t>
            </w:r>
          </w:p>
        </w:tc>
        <w:tc>
          <w:tcPr>
            <w:tcW w:w="947" w:type="dxa"/>
            <w:vAlign w:val="top"/>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Q</w:t>
            </w:r>
            <w:r>
              <w:rPr>
                <w:rFonts w:cs="宋体" w:asciiTheme="minorEastAsia" w:hAnsiTheme="minorEastAsia" w:eastAsiaTheme="minorEastAsia"/>
                <w:szCs w:val="21"/>
              </w:rPr>
              <w:t xml:space="preserve"> 7.5.2</w:t>
            </w:r>
          </w:p>
        </w:tc>
        <w:tc>
          <w:tcPr>
            <w:tcW w:w="9875" w:type="dxa"/>
            <w:vAlign w:val="center"/>
          </w:tcPr>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文件按程序执行更改和作废</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rPr>
              <w:t>负责人明确创建和更新成文信息时，确保文件标识和说明、适宜的格式和媒介、文件经过评审和批准，确保适宜性和充分性。</w:t>
            </w:r>
          </w:p>
          <w:p>
            <w:pPr>
              <w:spacing w:line="280" w:lineRule="exact"/>
              <w:ind w:firstLine="420" w:firstLineChars="200"/>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目前暂无作废文件。</w:t>
            </w:r>
          </w:p>
        </w:tc>
        <w:tc>
          <w:tcPr>
            <w:tcW w:w="1564" w:type="dxa"/>
            <w:vAlign w:val="top"/>
          </w:tcPr>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OK</w:t>
            </w:r>
          </w:p>
          <w:p>
            <w:pPr>
              <w:spacing w:line="360" w:lineRule="auto"/>
              <w:rPr>
                <w:rFonts w:ascii="楷体" w:hAnsi="楷体" w:eastAsia="楷体"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0" w:hRule="atLeast"/>
        </w:trPr>
        <w:tc>
          <w:tcPr>
            <w:tcW w:w="0" w:type="auto"/>
            <w:vAlign w:val="top"/>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成文信息的控制</w:t>
            </w:r>
          </w:p>
        </w:tc>
        <w:tc>
          <w:tcPr>
            <w:tcW w:w="0" w:type="auto"/>
            <w:vAlign w:val="top"/>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Q</w:t>
            </w:r>
            <w:r>
              <w:rPr>
                <w:rFonts w:cs="宋体" w:asciiTheme="minorEastAsia" w:hAnsiTheme="minorEastAsia" w:eastAsiaTheme="minorEastAsia"/>
                <w:szCs w:val="21"/>
              </w:rPr>
              <w:t xml:space="preserve"> 7.5.3</w:t>
            </w:r>
          </w:p>
          <w:p>
            <w:pPr>
              <w:spacing w:line="280" w:lineRule="exact"/>
              <w:ind w:firstLine="420" w:firstLineChars="200"/>
              <w:jc w:val="left"/>
              <w:rPr>
                <w:rFonts w:cs="宋体" w:asciiTheme="minorEastAsia" w:hAnsiTheme="minorEastAsia" w:eastAsiaTheme="minorEastAsia"/>
                <w:kern w:val="2"/>
                <w:sz w:val="21"/>
                <w:szCs w:val="21"/>
                <w:lang w:val="en-US" w:eastAsia="zh-CN" w:bidi="ar-SA"/>
              </w:rPr>
            </w:pPr>
          </w:p>
        </w:tc>
        <w:tc>
          <w:tcPr>
            <w:tcW w:w="0" w:type="auto"/>
            <w:vAlign w:val="center"/>
          </w:tcPr>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建立并执行《文件</w:t>
            </w:r>
            <w:r>
              <w:rPr>
                <w:rFonts w:hint="eastAsia" w:cs="宋体" w:asciiTheme="minorEastAsia" w:hAnsiTheme="minorEastAsia" w:eastAsiaTheme="minorEastAsia"/>
                <w:szCs w:val="21"/>
                <w:lang w:val="en-US" w:eastAsia="zh-CN"/>
              </w:rPr>
              <w:t>与记录</w:t>
            </w:r>
            <w:r>
              <w:rPr>
                <w:rFonts w:hint="eastAsia" w:cs="宋体" w:asciiTheme="minorEastAsia" w:hAnsiTheme="minorEastAsia" w:eastAsiaTheme="minorEastAsia"/>
                <w:szCs w:val="21"/>
              </w:rPr>
              <w:t>控制程序》；</w:t>
            </w:r>
          </w:p>
          <w:p>
            <w:pPr>
              <w:spacing w:line="280" w:lineRule="exact"/>
              <w:ind w:firstLine="420" w:firstLineChars="200"/>
              <w:rPr>
                <w:rFonts w:hint="eastAsia" w:cs="宋体" w:asciiTheme="minorEastAsia" w:hAnsiTheme="minorEastAsia" w:eastAsiaTheme="minorEastAsia"/>
                <w:szCs w:val="21"/>
                <w:lang w:eastAsia="zh-CN"/>
              </w:rPr>
            </w:pPr>
            <w:r>
              <w:rPr>
                <w:rFonts w:hint="eastAsia" w:cs="宋体" w:asciiTheme="minorEastAsia" w:hAnsiTheme="minorEastAsia" w:eastAsiaTheme="minorEastAsia"/>
                <w:szCs w:val="21"/>
              </w:rPr>
              <w:t>提供受控文件清单</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rPr>
              <w:t>手册</w:t>
            </w:r>
            <w:r>
              <w:rPr>
                <w:rFonts w:hint="eastAsia" w:cs="宋体" w:asciiTheme="minorEastAsia" w:hAnsiTheme="minorEastAsia" w:eastAsiaTheme="minorEastAsia"/>
                <w:szCs w:val="21"/>
                <w:lang w:val="en-US" w:eastAsia="zh-CN"/>
              </w:rPr>
              <w:t>1本</w:t>
            </w:r>
            <w:r>
              <w:rPr>
                <w:rFonts w:hint="eastAsia" w:cs="宋体" w:asciiTheme="minorEastAsia" w:hAnsiTheme="minorEastAsia" w:eastAsiaTheme="minorEastAsia"/>
                <w:szCs w:val="21"/>
              </w:rPr>
              <w:t>、程序</w:t>
            </w:r>
            <w:r>
              <w:rPr>
                <w:rFonts w:hint="eastAsia" w:cs="宋体" w:asciiTheme="minorEastAsia" w:hAnsiTheme="minorEastAsia" w:eastAsiaTheme="minorEastAsia"/>
                <w:szCs w:val="21"/>
                <w:lang w:val="en-US" w:eastAsia="zh-CN"/>
              </w:rPr>
              <w:t>14份</w:t>
            </w:r>
            <w:r>
              <w:rPr>
                <w:rFonts w:hint="eastAsia" w:cs="宋体" w:asciiTheme="minorEastAsia" w:hAnsiTheme="minorEastAsia" w:eastAsiaTheme="minorEastAsia"/>
                <w:szCs w:val="21"/>
              </w:rPr>
              <w:t>汇编成册</w:t>
            </w:r>
            <w:r>
              <w:rPr>
                <w:rFonts w:hint="eastAsia" w:cs="宋体" w:asciiTheme="minorEastAsia" w:hAnsiTheme="minorEastAsia" w:eastAsiaTheme="minorEastAsia"/>
                <w:szCs w:val="21"/>
                <w:lang w:eastAsia="zh-CN"/>
              </w:rPr>
              <w:t>；</w:t>
            </w:r>
          </w:p>
          <w:p>
            <w:pPr>
              <w:spacing w:line="280" w:lineRule="exact"/>
              <w:ind w:firstLine="420" w:firstLineChars="200"/>
              <w:rPr>
                <w:rFonts w:hint="default"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有管理制度及作业指书汇编成册，包括采购要求、质量检验要求、各主要工序及设备操作规格等。</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lang w:val="en-US" w:eastAsia="zh-CN"/>
              </w:rPr>
              <w:t>有质量</w:t>
            </w:r>
            <w:r>
              <w:rPr>
                <w:rFonts w:hint="eastAsia" w:cs="宋体" w:asciiTheme="minorEastAsia" w:hAnsiTheme="minorEastAsia" w:eastAsiaTheme="minorEastAsia"/>
                <w:szCs w:val="21"/>
              </w:rPr>
              <w:t>记录</w:t>
            </w:r>
            <w:r>
              <w:rPr>
                <w:rFonts w:hint="eastAsia" w:cs="宋体" w:asciiTheme="minorEastAsia" w:hAnsiTheme="minorEastAsia" w:eastAsiaTheme="minorEastAsia"/>
                <w:szCs w:val="21"/>
                <w:lang w:val="en-US" w:eastAsia="zh-CN"/>
              </w:rPr>
              <w:t>一览表，共计59份：抽生产计划、过程检验记录、成品检验记录、焊接过程监控记录、设备台帐、供方评价表 、顾客档案均登记，</w:t>
            </w:r>
            <w:r>
              <w:rPr>
                <w:rFonts w:hint="eastAsia" w:cs="宋体" w:asciiTheme="minorEastAsia" w:hAnsiTheme="minorEastAsia" w:eastAsiaTheme="minorEastAsia"/>
                <w:szCs w:val="21"/>
              </w:rPr>
              <w:t>明确保存</w:t>
            </w:r>
            <w:r>
              <w:rPr>
                <w:rFonts w:hint="eastAsia" w:cs="宋体" w:asciiTheme="minorEastAsia" w:hAnsiTheme="minorEastAsia" w:eastAsiaTheme="minorEastAsia"/>
                <w:szCs w:val="21"/>
                <w:lang w:val="en-US" w:eastAsia="zh-CN"/>
              </w:rPr>
              <w:t>年</w:t>
            </w:r>
            <w:r>
              <w:rPr>
                <w:rFonts w:hint="eastAsia" w:cs="宋体" w:asciiTheme="minorEastAsia" w:hAnsiTheme="minorEastAsia" w:eastAsiaTheme="minorEastAsia"/>
                <w:szCs w:val="21"/>
              </w:rPr>
              <w:t>限</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使用部门、保存部门</w:t>
            </w:r>
            <w:r>
              <w:rPr>
                <w:rFonts w:hint="eastAsia" w:cs="宋体" w:asciiTheme="minorEastAsia" w:hAnsiTheme="minorEastAsia" w:eastAsiaTheme="minorEastAsia"/>
                <w:szCs w:val="21"/>
              </w:rPr>
              <w:t>；</w:t>
            </w:r>
          </w:p>
          <w:p>
            <w:pPr>
              <w:spacing w:line="28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lang w:val="en-US" w:eastAsia="zh-CN"/>
              </w:rPr>
              <w:t>有外来文件清单：法律法规66</w:t>
            </w:r>
            <w:r>
              <w:rPr>
                <w:rFonts w:hint="eastAsia" w:cs="宋体" w:asciiTheme="minorEastAsia" w:hAnsiTheme="minorEastAsia" w:eastAsiaTheme="minorEastAsia"/>
                <w:szCs w:val="21"/>
                <w:highlight w:val="none"/>
              </w:rPr>
              <w:t>份</w:t>
            </w:r>
            <w:r>
              <w:rPr>
                <w:rFonts w:hint="eastAsia" w:cs="宋体" w:asciiTheme="minorEastAsia" w:hAnsiTheme="minorEastAsia" w:eastAsiaTheme="minorEastAsia"/>
                <w:szCs w:val="21"/>
                <w:highlight w:val="none"/>
                <w:lang w:eastAsia="zh-CN"/>
              </w:rPr>
              <w:t>，</w:t>
            </w:r>
            <w:r>
              <w:rPr>
                <w:rFonts w:hint="eastAsia" w:cs="宋体" w:asciiTheme="minorEastAsia" w:hAnsiTheme="minorEastAsia" w:eastAsiaTheme="minorEastAsia"/>
                <w:szCs w:val="21"/>
                <w:highlight w:val="none"/>
                <w:lang w:val="en-US" w:eastAsia="zh-CN"/>
              </w:rPr>
              <w:t>含国内、国外，明确</w:t>
            </w:r>
            <w:r>
              <w:rPr>
                <w:rFonts w:hint="eastAsia" w:cs="宋体" w:asciiTheme="minorEastAsia" w:hAnsiTheme="minorEastAsia" w:eastAsiaTheme="minorEastAsia"/>
                <w:szCs w:val="21"/>
                <w:highlight w:val="none"/>
              </w:rPr>
              <w:t>名称、</w:t>
            </w:r>
            <w:r>
              <w:rPr>
                <w:rFonts w:hint="eastAsia" w:cs="宋体" w:asciiTheme="minorEastAsia" w:hAnsiTheme="minorEastAsia" w:eastAsiaTheme="minorEastAsia"/>
                <w:szCs w:val="21"/>
                <w:highlight w:val="none"/>
                <w:lang w:val="en-US" w:eastAsia="zh-CN"/>
              </w:rPr>
              <w:t>实施日期</w:t>
            </w:r>
            <w:r>
              <w:rPr>
                <w:rFonts w:hint="eastAsia" w:cs="宋体" w:asciiTheme="minorEastAsia" w:hAnsiTheme="minorEastAsia" w:eastAsiaTheme="minorEastAsia"/>
                <w:szCs w:val="21"/>
                <w:highlight w:val="none"/>
              </w:rPr>
              <w:t>、编号</w:t>
            </w:r>
            <w:r>
              <w:rPr>
                <w:rFonts w:hint="eastAsia" w:cs="宋体" w:asciiTheme="minorEastAsia" w:hAnsiTheme="minorEastAsia" w:eastAsiaTheme="minorEastAsia"/>
                <w:szCs w:val="21"/>
                <w:highlight w:val="none"/>
                <w:lang w:eastAsia="zh-CN"/>
              </w:rPr>
              <w:t>、</w:t>
            </w:r>
            <w:r>
              <w:rPr>
                <w:rFonts w:hint="eastAsia" w:cs="宋体" w:asciiTheme="minorEastAsia" w:hAnsiTheme="minorEastAsia" w:eastAsiaTheme="minorEastAsia"/>
                <w:szCs w:val="21"/>
                <w:highlight w:val="none"/>
                <w:lang w:val="en-US" w:eastAsia="zh-CN"/>
              </w:rPr>
              <w:t>获取渠道</w:t>
            </w:r>
            <w:r>
              <w:rPr>
                <w:rFonts w:hint="eastAsia" w:cs="宋体" w:asciiTheme="minorEastAsia" w:hAnsiTheme="minorEastAsia" w:eastAsiaTheme="minorEastAsia"/>
                <w:szCs w:val="21"/>
                <w:highlight w:val="none"/>
              </w:rPr>
              <w:t>；</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查文件发放和资料发放回收登记表：</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2021.</w:t>
            </w:r>
            <w:r>
              <w:rPr>
                <w:rFonts w:hint="eastAsia" w:cs="宋体" w:asciiTheme="minorEastAsia" w:hAnsiTheme="minorEastAsia" w:eastAsiaTheme="minorEastAsia"/>
                <w:szCs w:val="21"/>
                <w:lang w:val="en-US" w:eastAsia="zh-CN"/>
              </w:rPr>
              <w:t>9</w:t>
            </w:r>
            <w:r>
              <w:rPr>
                <w:rFonts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1</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下发管理手册</w:t>
            </w:r>
            <w:r>
              <w:rPr>
                <w:rFonts w:cs="宋体" w:asciiTheme="minorEastAsia" w:hAnsiTheme="minorEastAsia" w:eastAsiaTheme="minorEastAsia"/>
                <w:szCs w:val="21"/>
              </w:rPr>
              <w:t>、</w:t>
            </w:r>
            <w:r>
              <w:rPr>
                <w:rFonts w:hint="eastAsia" w:cs="宋体" w:asciiTheme="minorEastAsia" w:hAnsiTheme="minorEastAsia" w:eastAsiaTheme="minorEastAsia"/>
                <w:szCs w:val="21"/>
              </w:rPr>
              <w:t>程序文件汇编</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rPr>
              <w:t>有</w:t>
            </w:r>
            <w:r>
              <w:rPr>
                <w:rFonts w:hint="eastAsia" w:cs="宋体" w:asciiTheme="minorEastAsia" w:hAnsiTheme="minorEastAsia" w:eastAsiaTheme="minorEastAsia"/>
                <w:szCs w:val="21"/>
                <w:lang w:val="en-US" w:eastAsia="zh-CN"/>
              </w:rPr>
              <w:t>生技部、品管部、综合部、出口部、管理层</w:t>
            </w:r>
            <w:r>
              <w:rPr>
                <w:rFonts w:hint="eastAsia" w:cs="宋体" w:asciiTheme="minorEastAsia" w:hAnsiTheme="minorEastAsia" w:eastAsiaTheme="minorEastAsia"/>
                <w:szCs w:val="21"/>
              </w:rPr>
              <w:t>发放记录</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负责人签名领取</w:t>
            </w:r>
            <w:r>
              <w:rPr>
                <w:rFonts w:hint="eastAsia" w:cs="宋体" w:asciiTheme="minorEastAsia" w:hAnsiTheme="minorEastAsia" w:eastAsiaTheme="minorEastAsia"/>
                <w:szCs w:val="21"/>
              </w:rPr>
              <w:t>；</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现场查看：用档案</w:t>
            </w:r>
            <w:r>
              <w:rPr>
                <w:rFonts w:hint="eastAsia" w:cs="宋体" w:asciiTheme="minorEastAsia" w:hAnsiTheme="minorEastAsia" w:eastAsiaTheme="minorEastAsia"/>
                <w:szCs w:val="21"/>
                <w:lang w:val="en-US" w:eastAsia="zh-CN"/>
              </w:rPr>
              <w:t>柜、盒/</w:t>
            </w:r>
            <w:r>
              <w:rPr>
                <w:rFonts w:hint="eastAsia" w:cs="宋体" w:asciiTheme="minorEastAsia" w:hAnsiTheme="minorEastAsia" w:eastAsiaTheme="minorEastAsia"/>
                <w:szCs w:val="21"/>
              </w:rPr>
              <w:t>文件架存放文件记录，分类、编目，便于检索，保管正常。</w:t>
            </w: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目前暂无文件和记录销毁。</w:t>
            </w:r>
          </w:p>
        </w:tc>
        <w:tc>
          <w:tcPr>
            <w:tcW w:w="1564" w:type="dxa"/>
            <w:vAlign w:val="top"/>
          </w:tcPr>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OK</w:t>
            </w:r>
          </w:p>
          <w:p>
            <w:pPr>
              <w:spacing w:line="360" w:lineRule="auto"/>
              <w:rPr>
                <w:rFonts w:ascii="楷体" w:hAnsi="楷体" w:eastAsia="楷体"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0" w:type="auto"/>
            <w:vAlign w:val="center"/>
          </w:tcPr>
          <w:p>
            <w:pPr>
              <w:spacing w:line="360" w:lineRule="auto"/>
              <w:ind w:right="-105" w:rightChars="0"/>
              <w:jc w:val="left"/>
              <w:rPr>
                <w:rFonts w:hint="eastAsia" w:ascii="宋体" w:hAnsi="宋体" w:eastAsia="宋体" w:cs="Times New Roman"/>
                <w:kern w:val="2"/>
                <w:sz w:val="21"/>
                <w:szCs w:val="21"/>
                <w:lang w:val="en-US" w:eastAsia="zh-CN" w:bidi="ar-SA"/>
              </w:rPr>
            </w:pPr>
            <w:r>
              <w:rPr>
                <w:rFonts w:ascii="宋体" w:hAnsi="宋体"/>
                <w:szCs w:val="21"/>
              </w:rPr>
              <w:t>外部提供过程、产品和服务的控制</w:t>
            </w:r>
          </w:p>
        </w:tc>
        <w:tc>
          <w:tcPr>
            <w:tcW w:w="0" w:type="auto"/>
            <w:vAlign w:val="top"/>
          </w:tcPr>
          <w:p>
            <w:pPr>
              <w:spacing w:line="360" w:lineRule="auto"/>
              <w:ind w:right="-105" w:firstLine="420"/>
              <w:jc w:val="left"/>
              <w:rPr>
                <w:rFonts w:ascii="宋体" w:hAnsi="宋体"/>
                <w:szCs w:val="21"/>
              </w:rPr>
            </w:pPr>
          </w:p>
          <w:p>
            <w:pPr>
              <w:spacing w:line="360" w:lineRule="auto"/>
              <w:ind w:right="-105" w:firstLine="210" w:firstLineChars="100"/>
              <w:jc w:val="left"/>
              <w:rPr>
                <w:rFonts w:ascii="宋体" w:hAnsi="宋体"/>
                <w:szCs w:val="21"/>
              </w:rPr>
            </w:pPr>
          </w:p>
          <w:p>
            <w:pPr>
              <w:spacing w:line="360" w:lineRule="auto"/>
              <w:ind w:right="-105" w:firstLine="210" w:firstLineChars="100"/>
              <w:jc w:val="left"/>
              <w:rPr>
                <w:rFonts w:ascii="宋体" w:hAnsi="宋体"/>
                <w:szCs w:val="21"/>
              </w:rPr>
            </w:pPr>
          </w:p>
          <w:p>
            <w:pPr>
              <w:spacing w:line="360" w:lineRule="auto"/>
              <w:ind w:right="-105" w:firstLine="210" w:firstLineChars="100"/>
              <w:jc w:val="left"/>
              <w:rPr>
                <w:rFonts w:ascii="宋体" w:hAnsi="宋体"/>
                <w:szCs w:val="21"/>
              </w:rPr>
            </w:pPr>
          </w:p>
          <w:p>
            <w:pPr>
              <w:spacing w:line="360" w:lineRule="auto"/>
              <w:ind w:right="-105"/>
              <w:jc w:val="left"/>
              <w:rPr>
                <w:rFonts w:ascii="宋体" w:hAnsi="宋体"/>
                <w:szCs w:val="21"/>
              </w:rPr>
            </w:pPr>
            <w:r>
              <w:rPr>
                <w:rFonts w:ascii="宋体" w:hAnsi="宋体"/>
                <w:szCs w:val="21"/>
              </w:rPr>
              <w:t>Q  8.4</w:t>
            </w:r>
            <w:bookmarkStart w:id="3" w:name="_GoBack"/>
            <w:bookmarkEnd w:id="3"/>
          </w:p>
          <w:p>
            <w:pPr>
              <w:spacing w:line="360" w:lineRule="auto"/>
              <w:ind w:right="-105" w:firstLine="420"/>
              <w:jc w:val="left"/>
              <w:rPr>
                <w:rFonts w:ascii="宋体" w:hAnsi="宋体"/>
                <w:szCs w:val="21"/>
              </w:rPr>
            </w:pPr>
          </w:p>
          <w:p>
            <w:pPr>
              <w:spacing w:line="360" w:lineRule="auto"/>
              <w:ind w:right="-105" w:firstLine="420"/>
              <w:jc w:val="left"/>
              <w:rPr>
                <w:rFonts w:ascii="宋体" w:hAnsi="宋体"/>
                <w:szCs w:val="21"/>
              </w:rPr>
            </w:pPr>
          </w:p>
          <w:p>
            <w:pPr>
              <w:spacing w:line="360" w:lineRule="auto"/>
              <w:ind w:right="-105" w:firstLine="420"/>
              <w:jc w:val="left"/>
              <w:rPr>
                <w:rFonts w:ascii="宋体" w:hAnsi="宋体"/>
                <w:szCs w:val="21"/>
              </w:rPr>
            </w:pPr>
          </w:p>
          <w:p>
            <w:pPr>
              <w:spacing w:line="360" w:lineRule="auto"/>
              <w:ind w:right="-105" w:firstLine="420"/>
              <w:jc w:val="left"/>
              <w:rPr>
                <w:rFonts w:ascii="宋体" w:hAnsi="宋体"/>
                <w:szCs w:val="21"/>
              </w:rPr>
            </w:pPr>
          </w:p>
          <w:p>
            <w:pPr>
              <w:spacing w:line="360" w:lineRule="auto"/>
              <w:ind w:right="-105" w:rightChars="0" w:firstLine="420" w:firstLineChars="0"/>
              <w:jc w:val="left"/>
              <w:rPr>
                <w:rFonts w:hint="eastAsia" w:ascii="宋体" w:hAnsi="宋体" w:eastAsia="宋体" w:cs="Times New Roman"/>
                <w:kern w:val="2"/>
                <w:sz w:val="21"/>
                <w:szCs w:val="21"/>
                <w:lang w:val="en-US" w:eastAsia="zh-CN" w:bidi="ar-SA"/>
              </w:rPr>
            </w:pPr>
          </w:p>
        </w:tc>
        <w:tc>
          <w:tcPr>
            <w:tcW w:w="0" w:type="auto"/>
            <w:vAlign w:val="top"/>
          </w:tcPr>
          <w:p>
            <w:pPr>
              <w:spacing w:line="240" w:lineRule="auto"/>
              <w:ind w:right="-105" w:firstLine="420"/>
              <w:jc w:val="left"/>
              <w:rPr>
                <w:rFonts w:ascii="宋体" w:hAnsi="宋体"/>
                <w:szCs w:val="21"/>
              </w:rPr>
            </w:pPr>
            <w:r>
              <w:rPr>
                <w:rFonts w:ascii="宋体" w:hAnsi="宋体"/>
                <w:szCs w:val="21"/>
              </w:rPr>
              <w:t>公司建立并实施</w:t>
            </w:r>
            <w:r>
              <w:rPr>
                <w:rFonts w:asciiTheme="minorEastAsia" w:hAnsiTheme="minorEastAsia"/>
                <w:szCs w:val="21"/>
              </w:rPr>
              <w:t>《</w:t>
            </w:r>
            <w:r>
              <w:rPr>
                <w:rFonts w:hint="eastAsia" w:asciiTheme="minorEastAsia" w:hAnsiTheme="minorEastAsia"/>
                <w:szCs w:val="21"/>
              </w:rPr>
              <w:t>采购控制程序</w:t>
            </w:r>
            <w:r>
              <w:rPr>
                <w:rFonts w:asciiTheme="minorEastAsia" w:hAnsiTheme="minorEastAsia"/>
                <w:szCs w:val="21"/>
              </w:rPr>
              <w:t>》，规定了采购物资分类、供方评价与管理状况、采购信息、采购产品验证等内容。对采购的物资进行分类，并依据重要程度分别予以控制。</w:t>
            </w:r>
          </w:p>
          <w:p>
            <w:pPr>
              <w:spacing w:line="240" w:lineRule="auto"/>
              <w:ind w:right="-105" w:firstLine="420"/>
              <w:jc w:val="left"/>
              <w:rPr>
                <w:rFonts w:asciiTheme="minorEastAsia" w:hAnsiTheme="minorEastAsia"/>
                <w:szCs w:val="21"/>
              </w:rPr>
            </w:pPr>
            <w:r>
              <w:rPr>
                <w:rFonts w:ascii="宋体" w:hAnsi="宋体"/>
                <w:szCs w:val="21"/>
              </w:rPr>
              <w:t>提供了合格供</w:t>
            </w:r>
            <w:r>
              <w:rPr>
                <w:rFonts w:asciiTheme="minorEastAsia" w:hAnsiTheme="minorEastAsia"/>
                <w:szCs w:val="21"/>
              </w:rPr>
              <w:t>方</w:t>
            </w:r>
            <w:r>
              <w:rPr>
                <w:rFonts w:hint="eastAsia" w:ascii="宋体" w:hAnsi="宋体" w:eastAsia="宋体" w:cs="宋体"/>
                <w:szCs w:val="21"/>
              </w:rPr>
              <w:t>/</w:t>
            </w:r>
            <w:r>
              <w:rPr>
                <w:rFonts w:hint="eastAsia" w:eastAsia="宋体" w:asciiTheme="minorEastAsia" w:hAnsiTheme="minorEastAsia"/>
                <w:szCs w:val="21"/>
                <w:lang w:val="en-US" w:eastAsia="zh-CN"/>
              </w:rPr>
              <w:t>外包</w:t>
            </w:r>
            <w:r>
              <w:rPr>
                <w:rFonts w:hint="eastAsia" w:asciiTheme="minorEastAsia" w:hAnsiTheme="minorEastAsia"/>
                <w:szCs w:val="21"/>
                <w:lang w:val="en-US" w:eastAsia="zh-CN"/>
              </w:rPr>
              <w:t>方名单</w:t>
            </w:r>
            <w:r>
              <w:rPr>
                <w:rFonts w:asciiTheme="minorEastAsia" w:hAnsiTheme="minorEastAsia"/>
                <w:szCs w:val="21"/>
              </w:rPr>
              <w:t>：</w:t>
            </w:r>
            <w:r>
              <w:rPr>
                <w:rFonts w:hint="eastAsia" w:asciiTheme="minorEastAsia" w:hAnsiTheme="minorEastAsia"/>
                <w:szCs w:val="21"/>
                <w:lang w:val="en-US" w:eastAsia="zh-CN"/>
              </w:rPr>
              <w:t>恒盛垒鑫 圆管、方管、板件，茂恒机械有限公司 喷塑外包单位，青岛求石包装制品 纸箱，青岛明瑞达科技有限公司 五金件，青岛东方明物流有限公司 外包运输单位，2021年9月1日 批准；卢峰</w:t>
            </w:r>
            <w:r>
              <w:rPr>
                <w:rFonts w:asciiTheme="minorEastAsia" w:hAnsiTheme="minorEastAsia"/>
                <w:szCs w:val="21"/>
              </w:rPr>
              <w:t>；</w:t>
            </w:r>
          </w:p>
          <w:p>
            <w:pPr>
              <w:spacing w:line="240" w:lineRule="auto"/>
              <w:ind w:right="-105" w:firstLine="420"/>
              <w:jc w:val="left"/>
              <w:rPr>
                <w:rFonts w:ascii="宋体" w:hAnsi="宋体"/>
                <w:szCs w:val="21"/>
              </w:rPr>
            </w:pPr>
            <w:r>
              <w:rPr>
                <w:rFonts w:ascii="宋体" w:hAnsi="宋体"/>
                <w:szCs w:val="21"/>
              </w:rPr>
              <w:t>组织在对供方</w:t>
            </w:r>
            <w:r>
              <w:rPr>
                <w:rFonts w:asciiTheme="minorEastAsia" w:hAnsiTheme="minorEastAsia"/>
                <w:szCs w:val="21"/>
              </w:rPr>
              <w:t>进行选择和评价：</w:t>
            </w:r>
          </w:p>
          <w:p>
            <w:pPr>
              <w:spacing w:line="240" w:lineRule="auto"/>
              <w:ind w:right="-105" w:firstLine="420"/>
              <w:jc w:val="left"/>
              <w:rPr>
                <w:rFonts w:hint="default" w:asciiTheme="minorEastAsia" w:hAnsiTheme="minorEastAsia"/>
                <w:szCs w:val="21"/>
                <w:lang w:val="en-US"/>
              </w:rPr>
            </w:pPr>
            <w:r>
              <w:rPr>
                <w:rFonts w:ascii="宋体" w:hAnsi="宋体"/>
                <w:szCs w:val="21"/>
              </w:rPr>
              <w:t>查供方</w:t>
            </w:r>
            <w:r>
              <w:rPr>
                <w:rFonts w:asciiTheme="minorEastAsia" w:hAnsiTheme="minorEastAsia"/>
                <w:szCs w:val="21"/>
              </w:rPr>
              <w:t>评价表，</w:t>
            </w:r>
            <w:r>
              <w:rPr>
                <w:rFonts w:hint="eastAsia" w:asciiTheme="minorEastAsia" w:hAnsiTheme="minorEastAsia"/>
                <w:szCs w:val="21"/>
                <w:lang w:val="en-US" w:eastAsia="zh-CN"/>
              </w:rPr>
              <w:t>上述五家供方</w:t>
            </w:r>
            <w:r>
              <w:rPr>
                <w:rFonts w:hint="eastAsia" w:asciiTheme="minorEastAsia" w:hAnsiTheme="minorEastAsia"/>
                <w:szCs w:val="21"/>
              </w:rPr>
              <w:t>评</w:t>
            </w:r>
            <w:r>
              <w:rPr>
                <w:rFonts w:hint="eastAsia" w:asciiTheme="minorEastAsia" w:hAnsiTheme="minorEastAsia"/>
                <w:szCs w:val="21"/>
                <w:highlight w:val="none"/>
              </w:rPr>
              <w:t>价记录</w:t>
            </w:r>
            <w:r>
              <w:rPr>
                <w:rFonts w:hint="eastAsia" w:asciiTheme="minorEastAsia" w:hAnsiTheme="minorEastAsia"/>
                <w:szCs w:val="21"/>
                <w:highlight w:val="none"/>
                <w:lang w:val="en-US" w:eastAsia="zh-CN"/>
              </w:rPr>
              <w:t>均提供，</w:t>
            </w:r>
            <w:r>
              <w:rPr>
                <w:rFonts w:asciiTheme="minorEastAsia" w:hAnsiTheme="minorEastAsia"/>
                <w:szCs w:val="21"/>
                <w:highlight w:val="none"/>
              </w:rPr>
              <w:t>记录供方</w:t>
            </w:r>
            <w:r>
              <w:rPr>
                <w:rFonts w:hint="eastAsia" w:asciiTheme="minorEastAsia" w:hAnsiTheme="minorEastAsia"/>
                <w:szCs w:val="21"/>
                <w:highlight w:val="none"/>
                <w:lang w:val="en-US" w:eastAsia="zh-CN"/>
              </w:rPr>
              <w:t>材料名称、联系方式、</w:t>
            </w:r>
            <w:r>
              <w:rPr>
                <w:rFonts w:hint="eastAsia" w:asciiTheme="minorEastAsia" w:hAnsiTheme="minorEastAsia"/>
                <w:szCs w:val="21"/>
                <w:highlight w:val="none"/>
              </w:rPr>
              <w:t>评价内容</w:t>
            </w:r>
            <w:r>
              <w:rPr>
                <w:rFonts w:asciiTheme="minorEastAsia" w:hAnsiTheme="minorEastAsia"/>
                <w:szCs w:val="21"/>
                <w:highlight w:val="none"/>
              </w:rPr>
              <w:t>、</w:t>
            </w:r>
            <w:r>
              <w:rPr>
                <w:rFonts w:hint="eastAsia" w:asciiTheme="minorEastAsia" w:hAnsiTheme="minorEastAsia"/>
                <w:szCs w:val="21"/>
                <w:highlight w:val="none"/>
              </w:rPr>
              <w:t>评价</w:t>
            </w:r>
            <w:r>
              <w:rPr>
                <w:rFonts w:asciiTheme="minorEastAsia" w:hAnsiTheme="minorEastAsia"/>
                <w:szCs w:val="21"/>
                <w:highlight w:val="none"/>
              </w:rPr>
              <w:t>结果及结论：</w:t>
            </w:r>
            <w:r>
              <w:rPr>
                <w:rFonts w:hint="eastAsia" w:asciiTheme="minorEastAsia" w:hAnsiTheme="minorEastAsia"/>
                <w:szCs w:val="21"/>
                <w:highlight w:val="none"/>
              </w:rPr>
              <w:t>同意纳入合格供方/外包方，参加人员</w:t>
            </w:r>
            <w:r>
              <w:rPr>
                <w:rFonts w:hint="eastAsia" w:asciiTheme="minorEastAsia" w:hAnsiTheme="minorEastAsia"/>
                <w:szCs w:val="21"/>
                <w:highlight w:val="none"/>
                <w:lang w:val="en-US" w:eastAsia="zh-CN"/>
              </w:rPr>
              <w:t>确认，高层领导批准，评价合格纳入合格供方。</w:t>
            </w:r>
          </w:p>
          <w:p>
            <w:pPr>
              <w:spacing w:line="240" w:lineRule="auto"/>
              <w:ind w:right="-105" w:firstLine="420"/>
              <w:jc w:val="left"/>
              <w:rPr>
                <w:rFonts w:hint="eastAsia" w:asciiTheme="minorEastAsia" w:hAnsiTheme="minorEastAsia"/>
                <w:szCs w:val="21"/>
              </w:rPr>
            </w:pPr>
            <w:r>
              <w:rPr>
                <w:rFonts w:hint="eastAsia" w:asciiTheme="minorEastAsia" w:hAnsiTheme="minorEastAsia"/>
                <w:szCs w:val="21"/>
                <w:lang w:val="en-US" w:eastAsia="zh-CN"/>
              </w:rPr>
              <w:t>均提供上述供方</w:t>
            </w:r>
            <w:r>
              <w:rPr>
                <w:rFonts w:hint="eastAsia" w:asciiTheme="minorEastAsia" w:hAnsiTheme="minorEastAsia"/>
                <w:szCs w:val="21"/>
              </w:rPr>
              <w:t>购</w:t>
            </w:r>
            <w:r>
              <w:rPr>
                <w:rFonts w:hint="eastAsia" w:asciiTheme="minorEastAsia" w:hAnsiTheme="minorEastAsia"/>
                <w:szCs w:val="21"/>
                <w:lang w:val="en-US" w:eastAsia="zh-CN"/>
              </w:rPr>
              <w:t>货协议和运输协议</w:t>
            </w:r>
            <w:r>
              <w:rPr>
                <w:rFonts w:hint="eastAsia" w:asciiTheme="minorEastAsia" w:hAnsiTheme="minorEastAsia"/>
                <w:szCs w:val="21"/>
                <w:lang w:eastAsia="zh-CN"/>
              </w:rPr>
              <w:t>，</w:t>
            </w:r>
            <w:r>
              <w:rPr>
                <w:rFonts w:hint="eastAsia" w:asciiTheme="minorEastAsia" w:hAnsiTheme="minorEastAsia"/>
                <w:szCs w:val="21"/>
              </w:rPr>
              <w:t>合同明确货物名称</w:t>
            </w:r>
            <w:r>
              <w:rPr>
                <w:rFonts w:hint="eastAsia" w:asciiTheme="minorEastAsia" w:hAnsiTheme="minorEastAsia"/>
                <w:szCs w:val="21"/>
                <w:lang w:val="en-US" w:eastAsia="zh-CN"/>
              </w:rPr>
              <w:t>或服务项目</w:t>
            </w:r>
            <w:r>
              <w:rPr>
                <w:rFonts w:hint="eastAsia" w:asciiTheme="minorEastAsia" w:hAnsiTheme="minorEastAsia"/>
                <w:szCs w:val="21"/>
              </w:rPr>
              <w:t>、价格、质量</w:t>
            </w:r>
            <w:r>
              <w:rPr>
                <w:rFonts w:hint="eastAsia" w:asciiTheme="minorEastAsia" w:hAnsiTheme="minorEastAsia"/>
                <w:szCs w:val="21"/>
                <w:lang w:val="en-US" w:eastAsia="zh-CN"/>
              </w:rPr>
              <w:t>要求</w:t>
            </w:r>
            <w:r>
              <w:rPr>
                <w:rFonts w:hint="eastAsia" w:asciiTheme="minorEastAsia" w:hAnsiTheme="minorEastAsia"/>
                <w:szCs w:val="21"/>
              </w:rPr>
              <w:t>、交货、结算要求等。</w:t>
            </w:r>
          </w:p>
          <w:p>
            <w:pPr>
              <w:shd w:val="clear"/>
              <w:spacing w:line="240" w:lineRule="auto"/>
              <w:ind w:right="-105" w:rightChars="0" w:firstLine="420" w:firstLineChars="0"/>
              <w:jc w:val="left"/>
              <w:rPr>
                <w:rFonts w:hint="default" w:ascii="宋体" w:hAnsi="宋体"/>
                <w:szCs w:val="21"/>
                <w:highlight w:val="none"/>
                <w:lang w:val="en-US" w:eastAsia="zh-CN"/>
              </w:rPr>
            </w:pPr>
            <w:r>
              <w:rPr>
                <w:rFonts w:hint="eastAsia" w:ascii="宋体" w:hAnsi="宋体"/>
                <w:szCs w:val="21"/>
                <w:highlight w:val="none"/>
                <w:lang w:val="en-US" w:eastAsia="zh-CN"/>
              </w:rPr>
              <w:t>上述供方及外包方供应商档案中有在有效期内的营业执照。</w:t>
            </w:r>
          </w:p>
          <w:p>
            <w:pPr>
              <w:shd w:val="clear"/>
              <w:spacing w:line="240" w:lineRule="auto"/>
              <w:ind w:right="-105" w:rightChars="0" w:firstLine="420" w:firstLineChars="0"/>
              <w:jc w:val="left"/>
              <w:rPr>
                <w:rFonts w:hint="default" w:ascii="宋体" w:hAnsi="宋体"/>
                <w:szCs w:val="21"/>
                <w:highlight w:val="none"/>
                <w:lang w:val="en-US" w:eastAsia="zh-CN"/>
              </w:rPr>
            </w:pPr>
            <w:r>
              <w:rPr>
                <w:rFonts w:hint="eastAsia" w:ascii="宋体" w:hAnsi="宋体"/>
                <w:szCs w:val="21"/>
                <w:highlight w:val="none"/>
                <w:lang w:val="en-US" w:eastAsia="zh-CN"/>
              </w:rPr>
              <w:t>综合部采购人员按合同或协议及订单需求量，下达采购计划，明确采购产品名称、规格、数量、质量及技术要求及日期。</w:t>
            </w:r>
          </w:p>
          <w:p>
            <w:pPr>
              <w:shd w:val="clear"/>
              <w:spacing w:line="240" w:lineRule="auto"/>
              <w:ind w:right="-105" w:rightChars="0" w:firstLine="420" w:firstLineChars="0"/>
              <w:jc w:val="left"/>
              <w:rPr>
                <w:rFonts w:hint="default" w:ascii="宋体" w:hAnsi="宋体"/>
                <w:szCs w:val="21"/>
                <w:highlight w:val="none"/>
                <w:lang w:val="en-US" w:eastAsia="zh-CN"/>
              </w:rPr>
            </w:pPr>
            <w:r>
              <w:rPr>
                <w:rFonts w:hint="eastAsia" w:ascii="宋体" w:hAnsi="宋体"/>
                <w:szCs w:val="21"/>
                <w:highlight w:val="none"/>
                <w:lang w:val="en-US" w:eastAsia="zh-CN"/>
              </w:rPr>
              <w:t>由品管部负责采购产品进货检验。</w:t>
            </w:r>
          </w:p>
          <w:p>
            <w:pPr>
              <w:spacing w:line="240" w:lineRule="auto"/>
              <w:ind w:right="-105" w:rightChars="0" w:firstLine="420" w:firstLineChars="0"/>
              <w:jc w:val="left"/>
              <w:rPr>
                <w:rFonts w:hint="eastAsia" w:ascii="宋体" w:hAnsi="宋体" w:eastAsia="宋体" w:cs="Times New Roman"/>
                <w:kern w:val="2"/>
                <w:sz w:val="21"/>
                <w:szCs w:val="21"/>
                <w:lang w:val="en-US" w:eastAsia="zh-CN" w:bidi="ar-SA"/>
              </w:rPr>
            </w:pPr>
            <w:r>
              <w:rPr>
                <w:rFonts w:ascii="宋体" w:hAnsi="宋体"/>
                <w:szCs w:val="21"/>
              </w:rPr>
              <w:t>外部提供过程、产品和服务的控制</w:t>
            </w:r>
            <w:r>
              <w:rPr>
                <w:rFonts w:hint="eastAsia" w:ascii="宋体" w:hAnsi="宋体"/>
                <w:szCs w:val="21"/>
                <w:lang w:val="en-US" w:eastAsia="zh-CN"/>
              </w:rPr>
              <w:t>管理基本符合</w:t>
            </w:r>
            <w:r>
              <w:rPr>
                <w:rFonts w:ascii="宋体" w:hAnsi="宋体"/>
                <w:szCs w:val="21"/>
              </w:rPr>
              <w:t>。</w:t>
            </w:r>
          </w:p>
        </w:tc>
        <w:tc>
          <w:tcPr>
            <w:tcW w:w="1564" w:type="dxa"/>
            <w:vAlign w:val="top"/>
          </w:tcPr>
          <w:p>
            <w:pPr>
              <w:rPr>
                <w:rFonts w:hint="eastAsia" w:asciiTheme="minorEastAsia" w:hAnsiTheme="minorEastAsia"/>
                <w:sz w:val="24"/>
                <w:szCs w:val="24"/>
              </w:rPr>
            </w:pPr>
            <w:r>
              <w:rPr>
                <w:rFonts w:hint="eastAsia" w:asciiTheme="minorEastAsia" w:hAnsiTheme="minorEastAsia"/>
                <w:sz w:val="24"/>
                <w:szCs w:val="24"/>
              </w:rPr>
              <w:t>OK</w:t>
            </w: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5" w:hRule="atLeast"/>
        </w:trPr>
        <w:tc>
          <w:tcPr>
            <w:tcW w:w="0" w:type="auto"/>
            <w:vAlign w:val="top"/>
          </w:tcPr>
          <w:p>
            <w:pPr>
              <w:spacing w:line="280" w:lineRule="exact"/>
              <w:jc w:val="left"/>
              <w:rPr>
                <w:rFonts w:hint="eastAsia" w:cs="宋体" w:asciiTheme="minorEastAsia" w:hAnsiTheme="minorEastAsia" w:eastAsiaTheme="minorEastAsia"/>
                <w:kern w:val="2"/>
                <w:sz w:val="21"/>
                <w:szCs w:val="21"/>
                <w:lang w:val="en-US" w:eastAsia="zh-CN" w:bidi="ar-SA"/>
              </w:rPr>
            </w:pPr>
            <w:r>
              <w:rPr>
                <w:rFonts w:hint="eastAsia" w:ascii="宋体" w:hAnsi="宋体" w:cs="Arial"/>
                <w:spacing w:val="-6"/>
                <w:szCs w:val="21"/>
              </w:rPr>
              <w:t>监视、测量、分析和评价总则</w:t>
            </w:r>
          </w:p>
        </w:tc>
        <w:tc>
          <w:tcPr>
            <w:tcW w:w="0" w:type="auto"/>
            <w:vAlign w:val="top"/>
          </w:tcPr>
          <w:p>
            <w:pPr>
              <w:spacing w:line="280" w:lineRule="exact"/>
              <w:jc w:val="left"/>
              <w:rPr>
                <w:rFonts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Q</w:t>
            </w:r>
            <w:r>
              <w:rPr>
                <w:rFonts w:hint="eastAsia" w:ascii="宋体" w:hAnsi="宋体" w:cs="Arial"/>
                <w:spacing w:val="-6"/>
                <w:szCs w:val="21"/>
              </w:rPr>
              <w:t xml:space="preserve"> 9.1.1</w:t>
            </w:r>
          </w:p>
        </w:tc>
        <w:tc>
          <w:tcPr>
            <w:tcW w:w="0" w:type="auto"/>
            <w:vAlign w:val="center"/>
          </w:tcPr>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对公司及各部门管理体系目标、指标每</w:t>
            </w:r>
            <w:r>
              <w:rPr>
                <w:rFonts w:hint="eastAsia" w:cs="宋体" w:asciiTheme="minorEastAsia" w:hAnsiTheme="minorEastAsia" w:eastAsiaTheme="minorEastAsia"/>
                <w:szCs w:val="21"/>
                <w:lang w:val="en-US" w:eastAsia="zh-CN"/>
              </w:rPr>
              <w:t>季度</w:t>
            </w:r>
            <w:r>
              <w:rPr>
                <w:rFonts w:hint="eastAsia" w:cs="宋体" w:asciiTheme="minorEastAsia" w:hAnsiTheme="minorEastAsia" w:eastAsiaTheme="minorEastAsia"/>
                <w:szCs w:val="21"/>
              </w:rPr>
              <w:t>进行统计考核，公司及部门分解质量目标均已完成；</w:t>
            </w:r>
          </w:p>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lang w:val="en-US" w:eastAsia="zh-CN"/>
              </w:rPr>
              <w:t>对采购产品、外包喷塑产品质量检验，对生产过程或半成品、成品进行批批监督和测量，合格接收、转序和出厂</w:t>
            </w:r>
            <w:r>
              <w:rPr>
                <w:rFonts w:hint="eastAsia" w:cs="宋体" w:asciiTheme="minorEastAsia" w:hAnsiTheme="minorEastAsia" w:eastAsiaTheme="minorEastAsia"/>
                <w:szCs w:val="21"/>
              </w:rPr>
              <w:t>；</w:t>
            </w:r>
          </w:p>
          <w:p>
            <w:pPr>
              <w:spacing w:line="280" w:lineRule="exact"/>
              <w:ind w:firstLine="420" w:firstLineChars="200"/>
              <w:rPr>
                <w:rFonts w:hint="default"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通日常检查、内审和管理评审，对标准及管理体系文件有效执行，及文件适宜和充分进行检查确认；</w:t>
            </w: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lang w:val="en-US" w:eastAsia="zh-CN"/>
              </w:rPr>
              <w:t>与负责人交流及记录抽查</w:t>
            </w:r>
            <w:r>
              <w:rPr>
                <w:rFonts w:hint="eastAsia" w:cs="宋体" w:asciiTheme="minorEastAsia" w:hAnsiTheme="minorEastAsia" w:eastAsiaTheme="minorEastAsia"/>
                <w:szCs w:val="21"/>
              </w:rPr>
              <w:t>公司没有违反质量法律法规现象，近期没有发生质量事故和违法情况。</w:t>
            </w:r>
          </w:p>
        </w:tc>
        <w:tc>
          <w:tcPr>
            <w:tcW w:w="1564" w:type="dxa"/>
            <w:vAlign w:val="top"/>
          </w:tcPr>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OK</w:t>
            </w:r>
          </w:p>
          <w:p>
            <w:pPr>
              <w:spacing w:line="360" w:lineRule="auto"/>
              <w:rPr>
                <w:rFonts w:cs="Times New Roman" w:asciiTheme="majorEastAsia" w:hAnsiTheme="majorEastAsia" w:eastAsiaTheme="majorEastAsia"/>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trPr>
        <w:tc>
          <w:tcPr>
            <w:tcW w:w="0" w:type="auto"/>
            <w:vAlign w:val="top"/>
          </w:tcPr>
          <w:p>
            <w:pPr>
              <w:spacing w:line="280" w:lineRule="exact"/>
              <w:jc w:val="left"/>
              <w:rPr>
                <w:rFonts w:hint="eastAsia" w:cs="宋体" w:asciiTheme="minorEastAsia" w:hAnsiTheme="minorEastAsia" w:eastAsiaTheme="minorEastAsia"/>
                <w:kern w:val="2"/>
                <w:sz w:val="21"/>
                <w:szCs w:val="21"/>
                <w:lang w:val="en-US" w:eastAsia="zh-CN" w:bidi="ar-SA"/>
              </w:rPr>
            </w:pPr>
            <w:r>
              <w:rPr>
                <w:rFonts w:hint="eastAsia" w:ascii="宋体" w:hAnsi="宋体" w:cs="Arial"/>
                <w:szCs w:val="21"/>
              </w:rPr>
              <w:t>分析与评价</w:t>
            </w:r>
          </w:p>
        </w:tc>
        <w:tc>
          <w:tcPr>
            <w:tcW w:w="0" w:type="auto"/>
            <w:vAlign w:val="top"/>
          </w:tcPr>
          <w:p>
            <w:pPr>
              <w:spacing w:line="280" w:lineRule="exact"/>
              <w:jc w:val="left"/>
              <w:rPr>
                <w:rFonts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Q</w:t>
            </w:r>
            <w:r>
              <w:rPr>
                <w:rFonts w:hint="eastAsia" w:ascii="宋体" w:hAnsi="宋体" w:cs="Arial"/>
                <w:szCs w:val="21"/>
              </w:rPr>
              <w:t xml:space="preserve"> </w:t>
            </w:r>
            <w:r>
              <w:rPr>
                <w:rFonts w:ascii="宋体" w:hAnsi="宋体" w:cs="Arial"/>
                <w:szCs w:val="21"/>
              </w:rPr>
              <w:t xml:space="preserve"> </w:t>
            </w:r>
            <w:r>
              <w:rPr>
                <w:rFonts w:hint="eastAsia" w:ascii="宋体" w:hAnsi="宋体" w:cs="Arial"/>
                <w:szCs w:val="21"/>
              </w:rPr>
              <w:t>9.1.3</w:t>
            </w:r>
          </w:p>
        </w:tc>
        <w:tc>
          <w:tcPr>
            <w:tcW w:w="0" w:type="auto"/>
            <w:vAlign w:val="center"/>
          </w:tcPr>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公司数据：对产品质量状况、顾客满意、目标完成情况、供方等过程的数据进行统计和分析。</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自管理体系运行以来，</w:t>
            </w:r>
            <w:r>
              <w:rPr>
                <w:rFonts w:hint="eastAsia" w:cs="宋体" w:asciiTheme="minorEastAsia" w:hAnsiTheme="minorEastAsia" w:eastAsiaTheme="minorEastAsia"/>
                <w:szCs w:val="21"/>
                <w:lang w:val="en-US" w:eastAsia="zh-CN"/>
              </w:rPr>
              <w:t>对</w:t>
            </w:r>
            <w:r>
              <w:rPr>
                <w:rFonts w:hint="eastAsia" w:cs="宋体" w:asciiTheme="minorEastAsia" w:hAnsiTheme="minorEastAsia" w:eastAsiaTheme="minorEastAsia"/>
                <w:szCs w:val="21"/>
              </w:rPr>
              <w:t>管理目标</w:t>
            </w:r>
            <w:r>
              <w:rPr>
                <w:rFonts w:hint="eastAsia" w:cs="宋体" w:asciiTheme="minorEastAsia" w:hAnsiTheme="minorEastAsia" w:eastAsiaTheme="minorEastAsia"/>
                <w:szCs w:val="21"/>
                <w:lang w:val="en-US" w:eastAsia="zh-CN"/>
              </w:rPr>
              <w:t>完成统计分析</w:t>
            </w:r>
            <w:r>
              <w:rPr>
                <w:rFonts w:hint="eastAsia" w:cs="宋体" w:asciiTheme="minorEastAsia" w:hAnsiTheme="minorEastAsia" w:eastAsiaTheme="minorEastAsia"/>
                <w:szCs w:val="21"/>
              </w:rPr>
              <w:t>、顾客满意度调查</w:t>
            </w:r>
            <w:r>
              <w:rPr>
                <w:rFonts w:hint="eastAsia" w:cs="宋体" w:asciiTheme="minorEastAsia" w:hAnsiTheme="minorEastAsia" w:eastAsiaTheme="minorEastAsia"/>
                <w:szCs w:val="21"/>
                <w:lang w:val="en-US" w:eastAsia="zh-CN"/>
              </w:rPr>
              <w:t>分析、原材料和产品质量情况</w:t>
            </w:r>
            <w:r>
              <w:rPr>
                <w:rFonts w:hint="eastAsia" w:cs="宋体" w:asciiTheme="minorEastAsia" w:hAnsiTheme="minorEastAsia" w:eastAsiaTheme="minorEastAsia"/>
                <w:szCs w:val="21"/>
              </w:rPr>
              <w:t>的简单分析。</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统计技术：调查表用于顾客满意度调查；</w:t>
            </w:r>
            <w:r>
              <w:rPr>
                <w:rFonts w:hint="eastAsia" w:cs="宋体" w:asciiTheme="minorEastAsia" w:hAnsiTheme="minorEastAsia" w:eastAsiaTheme="minorEastAsia"/>
                <w:szCs w:val="21"/>
                <w:lang w:val="en-US" w:eastAsia="zh-CN"/>
              </w:rPr>
              <w:t>统计表及趋势分析用于目标完成统计和产品质量分析</w:t>
            </w:r>
            <w:r>
              <w:rPr>
                <w:rFonts w:hint="eastAsia" w:cs="宋体" w:asciiTheme="minorEastAsia" w:hAnsiTheme="minorEastAsia" w:eastAsiaTheme="minorEastAsia"/>
                <w:szCs w:val="21"/>
              </w:rPr>
              <w:t>；</w:t>
            </w:r>
          </w:p>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公司产品和服务的符合性良好；顾客满意度评价达到目标要求；</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外部供方按时交付和质量经分析均满足要求，绩效良好。</w:t>
            </w: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信息和数据分析基本有效</w:t>
            </w:r>
            <w:r>
              <w:rPr>
                <w:rFonts w:hint="eastAsia" w:cs="宋体" w:asciiTheme="minorEastAsia" w:hAnsiTheme="minorEastAsia" w:eastAsiaTheme="minorEastAsia"/>
                <w:szCs w:val="21"/>
                <w:lang w:eastAsia="zh-CN"/>
              </w:rPr>
              <w:t>。</w:t>
            </w:r>
          </w:p>
        </w:tc>
        <w:tc>
          <w:tcPr>
            <w:tcW w:w="1564" w:type="dxa"/>
            <w:vAlign w:val="top"/>
          </w:tcPr>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OK</w:t>
            </w:r>
          </w:p>
          <w:p>
            <w:pPr>
              <w:spacing w:line="360" w:lineRule="auto"/>
              <w:rPr>
                <w:rFonts w:cs="Times New Roman" w:asciiTheme="majorEastAsia" w:hAnsiTheme="majorEastAsia" w:eastAsiaTheme="majorEastAsia"/>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2" w:hRule="atLeast"/>
        </w:trPr>
        <w:tc>
          <w:tcPr>
            <w:tcW w:w="0" w:type="auto"/>
            <w:vAlign w:val="top"/>
          </w:tcPr>
          <w:p>
            <w:pPr>
              <w:spacing w:line="280" w:lineRule="exact"/>
              <w:ind w:firstLine="420" w:firstLineChars="200"/>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内部审核</w:t>
            </w:r>
          </w:p>
          <w:p>
            <w:pPr>
              <w:spacing w:line="280" w:lineRule="exact"/>
              <w:ind w:firstLine="420" w:firstLineChars="200"/>
              <w:jc w:val="left"/>
              <w:rPr>
                <w:rFonts w:cs="宋体" w:asciiTheme="minorEastAsia" w:hAnsiTheme="minorEastAsia" w:eastAsiaTheme="minorEastAsia"/>
                <w:szCs w:val="21"/>
              </w:rPr>
            </w:pPr>
          </w:p>
          <w:p>
            <w:pPr>
              <w:spacing w:line="280" w:lineRule="exact"/>
              <w:ind w:firstLine="420" w:firstLineChars="200"/>
              <w:jc w:val="left"/>
              <w:rPr>
                <w:rFonts w:hint="eastAsia" w:cs="宋体" w:asciiTheme="minorEastAsia" w:hAnsiTheme="minorEastAsia" w:eastAsiaTheme="minorEastAsia"/>
                <w:kern w:val="2"/>
                <w:sz w:val="21"/>
                <w:szCs w:val="21"/>
                <w:lang w:val="en-US" w:eastAsia="zh-CN" w:bidi="ar-SA"/>
              </w:rPr>
            </w:pPr>
          </w:p>
        </w:tc>
        <w:tc>
          <w:tcPr>
            <w:tcW w:w="0" w:type="auto"/>
            <w:vAlign w:val="top"/>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Q</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9.2</w:t>
            </w:r>
          </w:p>
          <w:p>
            <w:pPr>
              <w:spacing w:line="280" w:lineRule="exact"/>
              <w:ind w:firstLine="420" w:firstLineChars="200"/>
              <w:jc w:val="left"/>
              <w:rPr>
                <w:rFonts w:cs="宋体" w:asciiTheme="minorEastAsia" w:hAnsiTheme="minorEastAsia" w:eastAsiaTheme="minorEastAsia"/>
                <w:kern w:val="2"/>
                <w:sz w:val="21"/>
                <w:szCs w:val="21"/>
                <w:lang w:val="en-US" w:eastAsia="zh-CN" w:bidi="ar-SA"/>
              </w:rPr>
            </w:pPr>
          </w:p>
        </w:tc>
        <w:tc>
          <w:tcPr>
            <w:tcW w:w="0" w:type="auto"/>
            <w:vAlign w:val="center"/>
          </w:tcPr>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建立并执行《内部审核</w:t>
            </w:r>
            <w:r>
              <w:rPr>
                <w:rFonts w:hint="eastAsia" w:cs="宋体" w:asciiTheme="minorEastAsia" w:hAnsiTheme="minorEastAsia" w:eastAsiaTheme="minorEastAsia"/>
                <w:szCs w:val="21"/>
                <w:lang w:val="en-US" w:eastAsia="zh-CN"/>
              </w:rPr>
              <w:t>管理</w:t>
            </w:r>
            <w:r>
              <w:rPr>
                <w:rFonts w:hint="eastAsia" w:cs="宋体" w:asciiTheme="minorEastAsia" w:hAnsiTheme="minorEastAsia" w:eastAsiaTheme="minorEastAsia"/>
                <w:szCs w:val="21"/>
              </w:rPr>
              <w:t>程序》，并能按标准规定对内部审核的策划、实施、人员安排与资质、内部审核的记录、不符合项的分析与验证，以及审核的结论等开展内部审核。</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由</w:t>
            </w:r>
            <w:r>
              <w:rPr>
                <w:rFonts w:hint="eastAsia" w:cs="宋体" w:asciiTheme="minorEastAsia" w:hAnsiTheme="minorEastAsia" w:eastAsiaTheme="minorEastAsia"/>
                <w:szCs w:val="21"/>
                <w:lang w:eastAsia="zh-CN"/>
              </w:rPr>
              <w:t>综合部</w:t>
            </w:r>
            <w:r>
              <w:rPr>
                <w:rFonts w:hint="eastAsia" w:cs="宋体" w:asciiTheme="minorEastAsia" w:hAnsiTheme="minorEastAsia" w:eastAsiaTheme="minorEastAsia"/>
                <w:szCs w:val="21"/>
              </w:rPr>
              <w:t>组织内部审核，一般每年至少进行一次内部审核，抽查内部审核情况：</w:t>
            </w:r>
          </w:p>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提供</w:t>
            </w:r>
            <w:r>
              <w:rPr>
                <w:rFonts w:hint="eastAsia" w:cs="宋体" w:asciiTheme="minorEastAsia" w:hAnsiTheme="minorEastAsia" w:eastAsiaTheme="minorEastAsia"/>
                <w:szCs w:val="21"/>
                <w:lang w:val="en-US" w:eastAsia="zh-CN"/>
              </w:rPr>
              <w:t>2021</w:t>
            </w:r>
            <w:r>
              <w:rPr>
                <w:rFonts w:hint="eastAsia" w:cs="宋体" w:asciiTheme="minorEastAsia" w:hAnsiTheme="minorEastAsia" w:eastAsiaTheme="minorEastAsia"/>
                <w:szCs w:val="21"/>
              </w:rPr>
              <w:t>年</w:t>
            </w:r>
            <w:r>
              <w:rPr>
                <w:rFonts w:hint="eastAsia" w:cs="宋体" w:asciiTheme="minorEastAsia" w:hAnsiTheme="minorEastAsia" w:eastAsiaTheme="minorEastAsia"/>
                <w:szCs w:val="21"/>
                <w:lang w:val="en-US" w:eastAsia="zh-CN"/>
              </w:rPr>
              <w:t>度</w:t>
            </w:r>
            <w:r>
              <w:rPr>
                <w:rFonts w:hint="eastAsia" w:cs="宋体" w:asciiTheme="minorEastAsia" w:hAnsiTheme="minorEastAsia" w:eastAsiaTheme="minorEastAsia"/>
                <w:szCs w:val="21"/>
              </w:rPr>
              <w:t>内审计划</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rPr>
              <w:t xml:space="preserve"> </w:t>
            </w:r>
            <w:r>
              <w:rPr>
                <w:rFonts w:hint="eastAsia" w:cs="宋体" w:asciiTheme="minorEastAsia" w:hAnsiTheme="minorEastAsia" w:eastAsiaTheme="minorEastAsia"/>
                <w:szCs w:val="21"/>
                <w:lang w:val="en-US" w:eastAsia="zh-CN"/>
              </w:rPr>
              <w:t>12</w:t>
            </w:r>
            <w:r>
              <w:rPr>
                <w:rFonts w:hint="eastAsia" w:cs="宋体" w:asciiTheme="minorEastAsia" w:hAnsiTheme="minorEastAsia" w:eastAsiaTheme="minorEastAsia"/>
                <w:szCs w:val="21"/>
              </w:rPr>
              <w:t>月进行内审，批准</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卢峰</w:t>
            </w:r>
            <w:r>
              <w:rPr>
                <w:rFonts w:hint="eastAsia" w:cs="宋体" w:asciiTheme="minorEastAsia" w:hAnsiTheme="minorEastAsia" w:eastAsiaTheme="minorEastAsia"/>
                <w:szCs w:val="21"/>
              </w:rPr>
              <w:t>；</w:t>
            </w:r>
          </w:p>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查2021年内部审核</w:t>
            </w:r>
            <w:r>
              <w:rPr>
                <w:rFonts w:hint="eastAsia" w:cs="宋体" w:asciiTheme="minorEastAsia" w:hAnsiTheme="minorEastAsia" w:eastAsiaTheme="minorEastAsia"/>
                <w:szCs w:val="21"/>
                <w:lang w:val="en-US" w:eastAsia="zh-CN"/>
              </w:rPr>
              <w:t>实施</w:t>
            </w:r>
            <w:r>
              <w:rPr>
                <w:rFonts w:hint="eastAsia" w:cs="宋体" w:asciiTheme="minorEastAsia" w:hAnsiTheme="minorEastAsia" w:eastAsiaTheme="minorEastAsia"/>
                <w:szCs w:val="21"/>
              </w:rPr>
              <w:t>计划，其内容已包括了审核目的、依据、范围、审核组</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审核部门、日程安排、审核日期：</w:t>
            </w:r>
            <w:r>
              <w:rPr>
                <w:rFonts w:hint="eastAsia" w:cs="宋体" w:asciiTheme="minorEastAsia" w:hAnsiTheme="minorEastAsia" w:eastAsiaTheme="minorEastAsia"/>
                <w:szCs w:val="21"/>
              </w:rPr>
              <w:t>2021年</w:t>
            </w:r>
            <w:r>
              <w:rPr>
                <w:rFonts w:hint="eastAsia" w:cs="宋体" w:asciiTheme="minorEastAsia" w:hAnsiTheme="minorEastAsia" w:eastAsiaTheme="minorEastAsia"/>
                <w:szCs w:val="21"/>
                <w:lang w:val="en-US" w:eastAsia="zh-CN"/>
              </w:rPr>
              <w:t>12</w:t>
            </w:r>
            <w:r>
              <w:rPr>
                <w:rFonts w:hint="eastAsia" w:cs="宋体" w:asciiTheme="minorEastAsia" w:hAnsiTheme="minorEastAsia" w:eastAsiaTheme="minorEastAsia"/>
                <w:szCs w:val="21"/>
              </w:rPr>
              <w:t>月</w:t>
            </w:r>
            <w:r>
              <w:rPr>
                <w:rFonts w:hint="eastAsia" w:cs="宋体" w:asciiTheme="minorEastAsia" w:hAnsiTheme="minorEastAsia" w:eastAsiaTheme="minorEastAsia"/>
                <w:szCs w:val="21"/>
                <w:lang w:val="en-US" w:eastAsia="zh-CN"/>
              </w:rPr>
              <w:t>1</w:t>
            </w:r>
            <w:r>
              <w:rPr>
                <w:rFonts w:hint="eastAsia" w:cs="宋体" w:asciiTheme="minorEastAsia" w:hAnsiTheme="minorEastAsia" w:eastAsiaTheme="minorEastAsia"/>
                <w:szCs w:val="21"/>
              </w:rPr>
              <w:t>日，批准：</w:t>
            </w:r>
            <w:r>
              <w:rPr>
                <w:rFonts w:hint="eastAsia" w:cs="宋体" w:asciiTheme="minorEastAsia" w:hAnsiTheme="minorEastAsia" w:eastAsiaTheme="minorEastAsia"/>
                <w:szCs w:val="21"/>
                <w:lang w:val="en-US" w:eastAsia="zh-CN"/>
              </w:rPr>
              <w:t>卢峰</w:t>
            </w:r>
            <w:r>
              <w:rPr>
                <w:rFonts w:hint="eastAsia" w:cs="宋体" w:asciiTheme="minorEastAsia" w:hAnsiTheme="minorEastAsia" w:eastAsiaTheme="minorEastAsia"/>
                <w:szCs w:val="21"/>
              </w:rPr>
              <w:t xml:space="preserve"> </w:t>
            </w:r>
            <w:r>
              <w:rPr>
                <w:rFonts w:hint="eastAsia" w:cs="宋体" w:asciiTheme="minorEastAsia" w:hAnsiTheme="minorEastAsia" w:eastAsiaTheme="minorEastAsia"/>
                <w:szCs w:val="21"/>
                <w:lang w:val="en-US" w:eastAsia="zh-CN"/>
              </w:rPr>
              <w:t xml:space="preserve">  </w:t>
            </w:r>
            <w:r>
              <w:rPr>
                <w:rFonts w:hint="eastAsia" w:cs="宋体" w:asciiTheme="minorEastAsia" w:hAnsiTheme="minorEastAsia" w:eastAsiaTheme="minorEastAsia"/>
                <w:szCs w:val="21"/>
              </w:rPr>
              <w:t>计划批准时间：2021.</w:t>
            </w:r>
            <w:r>
              <w:rPr>
                <w:rFonts w:hint="eastAsia" w:cs="宋体" w:asciiTheme="minorEastAsia" w:hAnsiTheme="minorEastAsia" w:eastAsiaTheme="minorEastAsia"/>
                <w:szCs w:val="21"/>
                <w:lang w:val="en-US" w:eastAsia="zh-CN"/>
              </w:rPr>
              <w:t>11</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22</w:t>
            </w:r>
            <w:r>
              <w:rPr>
                <w:rFonts w:hint="eastAsia" w:cs="宋体" w:asciiTheme="minorEastAsia" w:hAnsiTheme="minorEastAsia" w:eastAsiaTheme="minorEastAsia"/>
                <w:szCs w:val="21"/>
              </w:rPr>
              <w:t>日</w:t>
            </w:r>
          </w:p>
          <w:p>
            <w:pPr>
              <w:spacing w:line="280" w:lineRule="exact"/>
              <w:ind w:firstLine="420" w:firstLineChars="200"/>
              <w:rPr>
                <w:rFonts w:hint="eastAsia" w:cs="宋体" w:asciiTheme="minorEastAsia" w:hAnsiTheme="minorEastAsia" w:eastAsiaTheme="minorEastAsia"/>
                <w:szCs w:val="21"/>
                <w:lang w:val="zh-CN"/>
              </w:rPr>
            </w:pPr>
            <w:r>
              <w:rPr>
                <w:rFonts w:hint="eastAsia" w:cs="宋体" w:asciiTheme="minorEastAsia" w:hAnsiTheme="minorEastAsia" w:eastAsiaTheme="minorEastAsia"/>
                <w:szCs w:val="21"/>
              </w:rPr>
              <w:t>审核目的：</w:t>
            </w:r>
            <w:r>
              <w:rPr>
                <w:rFonts w:hint="eastAsia" w:cs="宋体" w:asciiTheme="minorEastAsia" w:hAnsiTheme="minorEastAsia" w:eastAsiaTheme="minorEastAsia"/>
                <w:szCs w:val="21"/>
                <w:lang w:val="zh-CN"/>
              </w:rPr>
              <w:t>检查本公司质量管理体系是否依然符合本公司的发展需要，运行是否符合相关的规定，运行是否持续保持有效，是否具备接受第三方审核的条件。</w:t>
            </w:r>
          </w:p>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审核依据：</w:t>
            </w:r>
            <w:r>
              <w:rPr>
                <w:rFonts w:hint="eastAsia" w:cs="宋体" w:asciiTheme="minorEastAsia" w:hAnsiTheme="minorEastAsia" w:eastAsiaTheme="minorEastAsia"/>
                <w:szCs w:val="21"/>
                <w:lang w:val="zh-CN"/>
              </w:rPr>
              <w:t>GB/T 19001-2016</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zh-CN"/>
              </w:rPr>
              <w:t>ISO 9001：2015标准涉及的所有过程、职能部门和生产现场、仓库，覆盖产品</w:t>
            </w:r>
            <w:r>
              <w:rPr>
                <w:rFonts w:hint="eastAsia" w:cs="宋体" w:asciiTheme="minorEastAsia" w:hAnsiTheme="minorEastAsia" w:eastAsiaTheme="minorEastAsia"/>
                <w:szCs w:val="21"/>
              </w:rPr>
              <w:t>。</w:t>
            </w:r>
          </w:p>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内部审核实施：</w:t>
            </w:r>
            <w:r>
              <w:rPr>
                <w:rFonts w:hint="eastAsia" w:cs="宋体" w:asciiTheme="minorEastAsia" w:hAnsiTheme="minorEastAsia" w:eastAsiaTheme="minorEastAsia"/>
                <w:szCs w:val="21"/>
                <w:lang w:val="zh-CN"/>
              </w:rPr>
              <w:t>相鹏飞（A）组员：刘申光（B）</w:t>
            </w:r>
            <w:r>
              <w:rPr>
                <w:rFonts w:hint="eastAsia" w:cs="宋体" w:asciiTheme="minorEastAsia" w:hAnsiTheme="minorEastAsia" w:eastAsiaTheme="minorEastAsia"/>
                <w:szCs w:val="21"/>
              </w:rPr>
              <w:t xml:space="preserve">  审核按计划进行，有首末次会议签到和会议记录。</w:t>
            </w:r>
          </w:p>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审核计划已考虑到互查的公正性，无审核员审核本部门的情况，计划内容涉及各部门，条款覆盖整个标准。</w:t>
            </w:r>
          </w:p>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提供了《内审检查表》，其中包括</w:t>
            </w:r>
            <w:r>
              <w:rPr>
                <w:rFonts w:hint="eastAsia" w:cs="宋体" w:asciiTheme="minorEastAsia" w:hAnsiTheme="minorEastAsia" w:eastAsiaTheme="minorEastAsia"/>
                <w:szCs w:val="21"/>
                <w:lang w:val="en-US" w:eastAsia="zh-CN"/>
              </w:rPr>
              <w:t>管理层</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eastAsia="zh-CN"/>
              </w:rPr>
              <w:t>综合部</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eastAsia="zh-CN"/>
              </w:rPr>
              <w:t>生技部、</w:t>
            </w:r>
            <w:r>
              <w:rPr>
                <w:rFonts w:hint="eastAsia" w:cs="宋体" w:asciiTheme="minorEastAsia" w:hAnsiTheme="minorEastAsia" w:eastAsiaTheme="minorEastAsia"/>
                <w:szCs w:val="21"/>
                <w:lang w:val="en-US" w:eastAsia="zh-CN"/>
              </w:rPr>
              <w:t>品管部、出口部</w:t>
            </w:r>
            <w:r>
              <w:rPr>
                <w:rFonts w:hint="eastAsia" w:cs="宋体" w:asciiTheme="minorEastAsia" w:hAnsiTheme="minorEastAsia" w:eastAsiaTheme="minorEastAsia"/>
                <w:szCs w:val="21"/>
              </w:rPr>
              <w:t>的审核记录，条款与策划一致，记录真实、完整。</w:t>
            </w:r>
          </w:p>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提供《内审报告》，对现场审核进行了综述，对质量管理体系进行了符合性的综合评价，结论为：公司质量管理体系框架已成熟，管理体系在审核范围内依然符合审核准则并得到实施，建立的以防止不合格品出现、满足顾客要求与法规的能力进一步加强，建立起不断完善的质量管理体系，能遵循适用的法律法规，杜绝重大质量事故的发生。因此质量管理体系符合标准要求，适宜本公司的情况，运行依然有效。</w:t>
            </w:r>
          </w:p>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编制：</w:t>
            </w:r>
            <w:r>
              <w:rPr>
                <w:rFonts w:hint="eastAsia" w:cs="宋体" w:asciiTheme="minorEastAsia" w:hAnsiTheme="minorEastAsia" w:eastAsiaTheme="minorEastAsia"/>
                <w:szCs w:val="21"/>
                <w:lang w:val="en-US" w:eastAsia="zh-CN"/>
              </w:rPr>
              <w:t xml:space="preserve">刘申光 </w:t>
            </w:r>
            <w:r>
              <w:rPr>
                <w:rFonts w:hint="eastAsia" w:cs="宋体" w:asciiTheme="minorEastAsia" w:hAnsiTheme="minorEastAsia" w:eastAsiaTheme="minorEastAsia"/>
                <w:szCs w:val="21"/>
              </w:rPr>
              <w:t xml:space="preserve">  批准：</w:t>
            </w:r>
            <w:r>
              <w:rPr>
                <w:rFonts w:hint="eastAsia" w:cs="宋体" w:asciiTheme="minorEastAsia" w:hAnsiTheme="minorEastAsia" w:eastAsiaTheme="minorEastAsia"/>
                <w:szCs w:val="21"/>
                <w:lang w:val="en-US" w:eastAsia="zh-CN"/>
              </w:rPr>
              <w:t xml:space="preserve">卢峰 </w:t>
            </w:r>
            <w:r>
              <w:rPr>
                <w:rFonts w:hint="eastAsia" w:cs="宋体" w:asciiTheme="minorEastAsia" w:hAnsiTheme="minorEastAsia" w:eastAsiaTheme="minorEastAsia"/>
                <w:szCs w:val="21"/>
              </w:rPr>
              <w:t xml:space="preserve"> 日期：2021年</w:t>
            </w:r>
            <w:r>
              <w:rPr>
                <w:rFonts w:hint="eastAsia" w:cs="宋体" w:asciiTheme="minorEastAsia" w:hAnsiTheme="minorEastAsia" w:eastAsiaTheme="minorEastAsia"/>
                <w:szCs w:val="21"/>
                <w:lang w:val="en-US" w:eastAsia="zh-CN"/>
              </w:rPr>
              <w:t>12</w:t>
            </w:r>
            <w:r>
              <w:rPr>
                <w:rFonts w:hint="eastAsia" w:cs="宋体" w:asciiTheme="minorEastAsia" w:hAnsiTheme="minorEastAsia" w:eastAsiaTheme="minorEastAsia"/>
                <w:szCs w:val="21"/>
              </w:rPr>
              <w:t>月</w:t>
            </w:r>
            <w:r>
              <w:rPr>
                <w:rFonts w:hint="eastAsia" w:cs="宋体" w:asciiTheme="minorEastAsia" w:hAnsiTheme="minorEastAsia" w:eastAsiaTheme="minorEastAsia"/>
                <w:szCs w:val="21"/>
                <w:lang w:val="en-US" w:eastAsia="zh-CN"/>
              </w:rPr>
              <w:t>1</w:t>
            </w:r>
            <w:r>
              <w:rPr>
                <w:rFonts w:hint="eastAsia" w:cs="宋体" w:asciiTheme="minorEastAsia" w:hAnsiTheme="minorEastAsia" w:eastAsiaTheme="minorEastAsia"/>
                <w:szCs w:val="21"/>
              </w:rPr>
              <w:t>日</w:t>
            </w:r>
          </w:p>
          <w:p>
            <w:pPr>
              <w:spacing w:line="280" w:lineRule="exact"/>
              <w:ind w:firstLine="420" w:firstLineChars="200"/>
              <w:rPr>
                <w:rFonts w:hint="eastAsia" w:cs="宋体" w:asciiTheme="minorEastAsia" w:hAnsiTheme="minorEastAsia" w:eastAsiaTheme="minorEastAsia"/>
                <w:szCs w:val="21"/>
              </w:rPr>
            </w:pPr>
            <w:r>
              <w:drawing>
                <wp:anchor distT="0" distB="0" distL="114300" distR="114300" simplePos="0" relativeHeight="251663360" behindDoc="0" locked="0" layoutInCell="1" allowOverlap="1">
                  <wp:simplePos x="0" y="0"/>
                  <wp:positionH relativeFrom="column">
                    <wp:posOffset>1688465</wp:posOffset>
                  </wp:positionH>
                  <wp:positionV relativeFrom="paragraph">
                    <wp:posOffset>403225</wp:posOffset>
                  </wp:positionV>
                  <wp:extent cx="3507740" cy="1293495"/>
                  <wp:effectExtent l="0" t="0" r="16510" b="1905"/>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3507740" cy="1293495"/>
                          </a:xfrm>
                          <a:prstGeom prst="rect">
                            <a:avLst/>
                          </a:prstGeom>
                          <a:noFill/>
                          <a:ln>
                            <a:noFill/>
                          </a:ln>
                        </pic:spPr>
                      </pic:pic>
                    </a:graphicData>
                  </a:graphic>
                </wp:anchor>
              </w:drawing>
            </w:r>
            <w:r>
              <w:rPr>
                <w:rFonts w:hint="eastAsia" w:cs="宋体" w:asciiTheme="minorEastAsia" w:hAnsiTheme="minorEastAsia" w:eastAsiaTheme="minorEastAsia"/>
                <w:szCs w:val="21"/>
                <w:lang w:val="en-US" w:eastAsia="zh-CN"/>
              </w:rPr>
              <w:t>内审开具</w:t>
            </w:r>
            <w:r>
              <w:rPr>
                <w:rFonts w:hint="eastAsia" w:cs="宋体" w:asciiTheme="minorEastAsia" w:hAnsiTheme="minorEastAsia" w:eastAsiaTheme="minorEastAsia"/>
                <w:szCs w:val="21"/>
              </w:rPr>
              <w:t>生技部</w:t>
            </w:r>
            <w:r>
              <w:rPr>
                <w:rFonts w:hint="eastAsia" w:cs="宋体" w:asciiTheme="minorEastAsia" w:hAnsiTheme="minorEastAsia" w:eastAsiaTheme="minorEastAsia"/>
                <w:szCs w:val="21"/>
                <w:lang w:val="en-US" w:eastAsia="zh-CN"/>
              </w:rPr>
              <w:t>1项</w:t>
            </w:r>
            <w:r>
              <w:rPr>
                <w:rFonts w:hint="eastAsia" w:cs="宋体" w:asciiTheme="minorEastAsia" w:hAnsiTheme="minorEastAsia" w:eastAsiaTheme="minorEastAsia"/>
                <w:szCs w:val="21"/>
              </w:rPr>
              <w:t>一般不符合项，主要存在问题是对车间折弯机周围有废弃的下脚料未及时清理</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rPr>
              <w:t>GB/T19001-2015</w:t>
            </w:r>
            <w:r>
              <w:rPr>
                <w:rFonts w:hint="eastAsia" w:cs="宋体" w:asciiTheme="minorEastAsia" w:hAnsiTheme="minorEastAsia" w:eastAsiaTheme="minorEastAsia"/>
                <w:szCs w:val="21"/>
                <w:lang w:val="en-US" w:eastAsia="zh-CN"/>
              </w:rPr>
              <w:t>中</w:t>
            </w:r>
            <w:r>
              <w:rPr>
                <w:rFonts w:hint="eastAsia" w:cs="宋体" w:asciiTheme="minorEastAsia" w:hAnsiTheme="minorEastAsia" w:eastAsiaTheme="minorEastAsia"/>
                <w:szCs w:val="21"/>
              </w:rPr>
              <w:t>7.1.4</w:t>
            </w:r>
            <w:r>
              <w:rPr>
                <w:rFonts w:hint="eastAsia" w:cs="宋体" w:asciiTheme="minorEastAsia" w:hAnsiTheme="minorEastAsia" w:eastAsiaTheme="minorEastAsia"/>
                <w:szCs w:val="21"/>
                <w:lang w:val="en-US" w:eastAsia="zh-CN"/>
              </w:rPr>
              <w:t>条，</w:t>
            </w:r>
            <w:r>
              <w:rPr>
                <w:rFonts w:hint="eastAsia" w:cs="宋体" w:asciiTheme="minorEastAsia" w:hAnsiTheme="minorEastAsia" w:eastAsiaTheme="minorEastAsia"/>
                <w:szCs w:val="21"/>
              </w:rPr>
              <w:t>对存在的问题部门确认不合格，并进行原因分析和整改，有记录并对整改效果进行验证，已关闭。</w:t>
            </w:r>
          </w:p>
          <w:p>
            <w:pPr>
              <w:spacing w:line="280" w:lineRule="exact"/>
              <w:ind w:firstLine="420" w:firstLineChars="200"/>
              <w:rPr>
                <w:rFonts w:hint="eastAsia" w:cs="宋体" w:asciiTheme="minorEastAsia" w:hAnsiTheme="minorEastAsia" w:eastAsiaTheme="minorEastAsia"/>
                <w:szCs w:val="21"/>
              </w:rPr>
            </w:pPr>
          </w:p>
          <w:p>
            <w:pPr>
              <w:spacing w:line="280" w:lineRule="exact"/>
              <w:ind w:firstLine="420" w:firstLineChars="200"/>
              <w:rPr>
                <w:rFonts w:hint="eastAsia" w:cs="宋体" w:asciiTheme="minorEastAsia" w:hAnsiTheme="minorEastAsia" w:eastAsiaTheme="minorEastAsia"/>
                <w:szCs w:val="21"/>
              </w:rPr>
            </w:pPr>
          </w:p>
          <w:p>
            <w:pPr>
              <w:spacing w:line="280" w:lineRule="exact"/>
              <w:ind w:firstLine="420" w:firstLineChars="200"/>
              <w:rPr>
                <w:rFonts w:hint="eastAsia" w:cs="宋体" w:asciiTheme="minorEastAsia" w:hAnsiTheme="minorEastAsia" w:eastAsiaTheme="minorEastAsia"/>
                <w:szCs w:val="21"/>
              </w:rPr>
            </w:pPr>
          </w:p>
          <w:p>
            <w:pPr>
              <w:spacing w:line="280" w:lineRule="exact"/>
              <w:ind w:firstLine="420" w:firstLineChars="200"/>
              <w:rPr>
                <w:rFonts w:hint="eastAsia" w:cs="宋体" w:asciiTheme="minorEastAsia" w:hAnsiTheme="minorEastAsia" w:eastAsiaTheme="minorEastAsia"/>
                <w:szCs w:val="21"/>
              </w:rPr>
            </w:pPr>
          </w:p>
          <w:p>
            <w:pPr>
              <w:spacing w:line="280" w:lineRule="exact"/>
              <w:ind w:firstLine="420" w:firstLineChars="200"/>
              <w:rPr>
                <w:rFonts w:hint="eastAsia" w:cs="宋体" w:asciiTheme="minorEastAsia" w:hAnsiTheme="minorEastAsia" w:eastAsiaTheme="minorEastAsia"/>
                <w:szCs w:val="21"/>
              </w:rPr>
            </w:pPr>
          </w:p>
          <w:p>
            <w:pPr>
              <w:spacing w:line="280" w:lineRule="exact"/>
              <w:ind w:firstLine="420" w:firstLineChars="200"/>
              <w:rPr>
                <w:rFonts w:hint="eastAsia" w:cs="宋体" w:asciiTheme="minorEastAsia" w:hAnsiTheme="minorEastAsia" w:eastAsiaTheme="minorEastAsia"/>
                <w:szCs w:val="21"/>
              </w:rPr>
            </w:pPr>
          </w:p>
          <w:p>
            <w:pPr>
              <w:spacing w:line="280" w:lineRule="exact"/>
              <w:ind w:firstLine="420" w:firstLineChars="200"/>
              <w:rPr>
                <w:rFonts w:hint="eastAsia" w:cs="宋体" w:asciiTheme="minorEastAsia" w:hAnsiTheme="minorEastAsia" w:eastAsiaTheme="minorEastAsia"/>
                <w:szCs w:val="21"/>
              </w:rPr>
            </w:pPr>
          </w:p>
          <w:p>
            <w:pPr>
              <w:spacing w:line="280" w:lineRule="exact"/>
              <w:ind w:firstLine="420" w:firstLineChars="200"/>
              <w:rPr>
                <w:rFonts w:hint="eastAsia" w:cs="宋体" w:asciiTheme="minorEastAsia" w:hAnsiTheme="minorEastAsia" w:eastAsiaTheme="minorEastAsia"/>
                <w:kern w:val="2"/>
                <w:sz w:val="24"/>
                <w:szCs w:val="24"/>
                <w:lang w:val="en-US" w:eastAsia="zh-CN" w:bidi="ar-SA"/>
              </w:rPr>
            </w:pPr>
            <w:r>
              <w:rPr>
                <w:rFonts w:hint="eastAsia" w:cs="宋体" w:asciiTheme="minorEastAsia" w:hAnsiTheme="minorEastAsia" w:eastAsiaTheme="minorEastAsia"/>
                <w:szCs w:val="21"/>
              </w:rPr>
              <w:t>公司内部审核基本有效。</w:t>
            </w:r>
          </w:p>
        </w:tc>
        <w:tc>
          <w:tcPr>
            <w:tcW w:w="1564" w:type="dxa"/>
            <w:vAlign w:val="top"/>
          </w:tcPr>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OK</w:t>
            </w:r>
          </w:p>
          <w:p>
            <w:pPr>
              <w:spacing w:line="360" w:lineRule="auto"/>
              <w:rPr>
                <w:rFonts w:ascii="楷体" w:hAnsi="楷体" w:eastAsia="楷体" w:cs="Times New Roman"/>
                <w:kern w:val="2"/>
                <w:sz w:val="24"/>
                <w:szCs w:val="24"/>
                <w:lang w:val="en-US" w:eastAsia="zh-CN" w:bidi="ar-SA"/>
              </w:rPr>
            </w:pPr>
          </w:p>
        </w:tc>
      </w:tr>
    </w:tbl>
    <w:p/>
    <w:p>
      <w:pPr>
        <w:pStyle w:val="3"/>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3"/>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0"/>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0"/>
        <w:rFonts w:hint="default"/>
      </w:rPr>
      <w:t>北京国标联合认证有限公司</w:t>
    </w:r>
    <w:r>
      <w:rPr>
        <w:rStyle w:val="10"/>
        <w:rFonts w:hint="default"/>
      </w:rPr>
      <w:tab/>
    </w:r>
    <w:r>
      <w:rPr>
        <w:rStyle w:val="10"/>
        <w:rFonts w:hint="default"/>
      </w:rPr>
      <w:tab/>
    </w:r>
    <w:r>
      <w:rPr>
        <w:rStyle w:val="10"/>
        <w:rFonts w:hint="default"/>
      </w:rPr>
      <w:tab/>
    </w:r>
  </w:p>
  <w:p>
    <w:pPr>
      <w:pStyle w:val="4"/>
      <w:pBdr>
        <w:bottom w:val="none" w:color="auto" w:sz="0" w:space="0"/>
      </w:pBdr>
      <w:spacing w:line="320" w:lineRule="exact"/>
      <w:ind w:firstLine="756" w:firstLineChars="400"/>
      <w:jc w:val="left"/>
    </w:pPr>
    <w:r>
      <w:rPr>
        <w:rStyle w:val="10"/>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000000"/>
    <w:rsid w:val="000408AF"/>
    <w:rsid w:val="007802B5"/>
    <w:rsid w:val="01C15957"/>
    <w:rsid w:val="021B5D96"/>
    <w:rsid w:val="022A5B78"/>
    <w:rsid w:val="02BC032F"/>
    <w:rsid w:val="04AF4650"/>
    <w:rsid w:val="04FC521C"/>
    <w:rsid w:val="056079E1"/>
    <w:rsid w:val="05A86320"/>
    <w:rsid w:val="06556F2B"/>
    <w:rsid w:val="06710766"/>
    <w:rsid w:val="069A035E"/>
    <w:rsid w:val="07770B93"/>
    <w:rsid w:val="088C0B36"/>
    <w:rsid w:val="0987026A"/>
    <w:rsid w:val="0A0554EC"/>
    <w:rsid w:val="0A6E2A51"/>
    <w:rsid w:val="0AA84A4C"/>
    <w:rsid w:val="0AFC1190"/>
    <w:rsid w:val="0BCE3186"/>
    <w:rsid w:val="0BD75BB1"/>
    <w:rsid w:val="0CE51C08"/>
    <w:rsid w:val="0DB42481"/>
    <w:rsid w:val="116A2B14"/>
    <w:rsid w:val="11B5604C"/>
    <w:rsid w:val="133B07D3"/>
    <w:rsid w:val="13DE789A"/>
    <w:rsid w:val="141D4D21"/>
    <w:rsid w:val="14635D15"/>
    <w:rsid w:val="15806971"/>
    <w:rsid w:val="15F01464"/>
    <w:rsid w:val="174C3198"/>
    <w:rsid w:val="17647B7A"/>
    <w:rsid w:val="196C09DE"/>
    <w:rsid w:val="19A5619D"/>
    <w:rsid w:val="19D32900"/>
    <w:rsid w:val="1C274DE4"/>
    <w:rsid w:val="1C4E1E4E"/>
    <w:rsid w:val="1D7F34D2"/>
    <w:rsid w:val="1F65468B"/>
    <w:rsid w:val="1F8B6E45"/>
    <w:rsid w:val="220939FF"/>
    <w:rsid w:val="222114DC"/>
    <w:rsid w:val="2298179E"/>
    <w:rsid w:val="236E24FF"/>
    <w:rsid w:val="27627C02"/>
    <w:rsid w:val="28100C39"/>
    <w:rsid w:val="28C00CB2"/>
    <w:rsid w:val="29075264"/>
    <w:rsid w:val="2A5241E9"/>
    <w:rsid w:val="2B2175E7"/>
    <w:rsid w:val="2B33475A"/>
    <w:rsid w:val="2C8A5630"/>
    <w:rsid w:val="2D01290C"/>
    <w:rsid w:val="2D5A3158"/>
    <w:rsid w:val="2D9C1F07"/>
    <w:rsid w:val="2EC74358"/>
    <w:rsid w:val="2FDD02FA"/>
    <w:rsid w:val="32081D91"/>
    <w:rsid w:val="32696CB3"/>
    <w:rsid w:val="335D7E9A"/>
    <w:rsid w:val="336F02F9"/>
    <w:rsid w:val="36F070D7"/>
    <w:rsid w:val="385615D7"/>
    <w:rsid w:val="3882765D"/>
    <w:rsid w:val="39A71E6F"/>
    <w:rsid w:val="39CB2002"/>
    <w:rsid w:val="3ADC32D6"/>
    <w:rsid w:val="3EB70DA6"/>
    <w:rsid w:val="3EC906A3"/>
    <w:rsid w:val="40873B7A"/>
    <w:rsid w:val="41CC4B69"/>
    <w:rsid w:val="431627EB"/>
    <w:rsid w:val="431C38CE"/>
    <w:rsid w:val="44015CE0"/>
    <w:rsid w:val="44272BB0"/>
    <w:rsid w:val="450260A3"/>
    <w:rsid w:val="45863281"/>
    <w:rsid w:val="45D31ED1"/>
    <w:rsid w:val="45DE130F"/>
    <w:rsid w:val="46DE4EDE"/>
    <w:rsid w:val="47436672"/>
    <w:rsid w:val="48142DC6"/>
    <w:rsid w:val="48EB4AC4"/>
    <w:rsid w:val="49236455"/>
    <w:rsid w:val="49F17862"/>
    <w:rsid w:val="4A0923DF"/>
    <w:rsid w:val="4A1A7938"/>
    <w:rsid w:val="4A5C1369"/>
    <w:rsid w:val="4C215AB1"/>
    <w:rsid w:val="4C7A2CF8"/>
    <w:rsid w:val="509B0528"/>
    <w:rsid w:val="52AC15B4"/>
    <w:rsid w:val="56660C90"/>
    <w:rsid w:val="58AD704A"/>
    <w:rsid w:val="5BC621D1"/>
    <w:rsid w:val="5BFC5BF3"/>
    <w:rsid w:val="5C5D6CD5"/>
    <w:rsid w:val="5C787FB4"/>
    <w:rsid w:val="5CCF456B"/>
    <w:rsid w:val="5E243999"/>
    <w:rsid w:val="5E776A60"/>
    <w:rsid w:val="5E8343A9"/>
    <w:rsid w:val="5F322057"/>
    <w:rsid w:val="5F9C41A5"/>
    <w:rsid w:val="625E5A58"/>
    <w:rsid w:val="62607EDA"/>
    <w:rsid w:val="63807CDF"/>
    <w:rsid w:val="644A5590"/>
    <w:rsid w:val="648B290C"/>
    <w:rsid w:val="65536987"/>
    <w:rsid w:val="65E04EB0"/>
    <w:rsid w:val="66214BD4"/>
    <w:rsid w:val="66A60C9C"/>
    <w:rsid w:val="66D061F4"/>
    <w:rsid w:val="6787793C"/>
    <w:rsid w:val="6AA33E09"/>
    <w:rsid w:val="6BC24758"/>
    <w:rsid w:val="6CAA406A"/>
    <w:rsid w:val="6CF070AE"/>
    <w:rsid w:val="6F084EF7"/>
    <w:rsid w:val="6F8821E3"/>
    <w:rsid w:val="70716758"/>
    <w:rsid w:val="71924470"/>
    <w:rsid w:val="74970D07"/>
    <w:rsid w:val="752124FA"/>
    <w:rsid w:val="76A97D04"/>
    <w:rsid w:val="78782D79"/>
    <w:rsid w:val="78B51830"/>
    <w:rsid w:val="791E39C6"/>
    <w:rsid w:val="795D7DE4"/>
    <w:rsid w:val="7961467A"/>
    <w:rsid w:val="7D954748"/>
    <w:rsid w:val="7F1638C1"/>
    <w:rsid w:val="7F1906E6"/>
    <w:rsid w:val="7F5B250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rFonts w:ascii="Times New Roman" w:hAnsi="Times New Roman" w:eastAsia="宋体" w:cs="Times New Roman"/>
      <w:sz w:val="18"/>
      <w:szCs w:val="18"/>
    </w:rPr>
  </w:style>
  <w:style w:type="character" w:customStyle="1" w:styleId="8">
    <w:name w:val="页脚 Char"/>
    <w:basedOn w:val="6"/>
    <w:link w:val="3"/>
    <w:qFormat/>
    <w:uiPriority w:val="99"/>
    <w:rPr>
      <w:rFonts w:ascii="Times New Roman" w:hAnsi="Times New Roman" w:eastAsia="宋体" w:cs="Times New Roman"/>
      <w:sz w:val="18"/>
      <w:szCs w:val="18"/>
    </w:rPr>
  </w:style>
  <w:style w:type="character" w:customStyle="1" w:styleId="9">
    <w:name w:val="批注框文本 Char"/>
    <w:basedOn w:val="6"/>
    <w:link w:val="2"/>
    <w:semiHidden/>
    <w:qFormat/>
    <w:uiPriority w:val="99"/>
    <w:rPr>
      <w:rFonts w:ascii="Times New Roman" w:hAnsi="Times New Roman" w:eastAsia="宋体" w:cs="Times New Roman"/>
      <w:sz w:val="18"/>
      <w:szCs w:val="18"/>
    </w:rPr>
  </w:style>
  <w:style w:type="character" w:customStyle="1" w:styleId="10">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87</TotalTime>
  <ScaleCrop>false</ScaleCrop>
  <LinksUpToDate>false</LinksUpToDate>
  <CharactersWithSpaces>101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付正</cp:lastModifiedBy>
  <dcterms:modified xsi:type="dcterms:W3CDTF">2022-03-07T07:56:20Z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2052-11.1.0.11365</vt:lpwstr>
  </property>
</Properties>
</file>